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BDF3" w14:textId="5C74502B" w:rsidR="003051D9" w:rsidRPr="00CA053C" w:rsidRDefault="006256CD" w:rsidP="003D02AC">
      <w:pPr>
        <w:ind w:left="0" w:firstLine="709"/>
      </w:pPr>
      <w:r>
        <w:t>ALLIANCE OF INTERNATIONAL BUSINESS LAWYERS</w:t>
      </w:r>
      <w:r>
        <w:tab/>
        <w:t xml:space="preserve"> </w:t>
      </w:r>
      <w:r w:rsidR="00114B68" w:rsidRPr="00225183">
        <w:t>FEBRUARY</w:t>
      </w:r>
      <w:r w:rsidR="006C79DD" w:rsidRPr="00225183">
        <w:t xml:space="preserve"> 202</w:t>
      </w:r>
      <w:r w:rsidR="000C2686" w:rsidRPr="00225183">
        <w:t>5</w:t>
      </w:r>
    </w:p>
    <w:p w14:paraId="2976F180" w14:textId="77777777" w:rsidR="003051D9" w:rsidRDefault="003051D9" w:rsidP="001C6849"/>
    <w:p w14:paraId="6348A745" w14:textId="77777777" w:rsidR="003051D9" w:rsidRDefault="003051D9" w:rsidP="001C6849"/>
    <w:p w14:paraId="14C17D11" w14:textId="77777777" w:rsidR="003051D9" w:rsidRDefault="003051D9" w:rsidP="001C6849"/>
    <w:p w14:paraId="7FB4E417" w14:textId="77777777" w:rsidR="006256CD" w:rsidRDefault="006256CD" w:rsidP="001C6849"/>
    <w:p w14:paraId="1DC1C360" w14:textId="77777777" w:rsidR="003051D9" w:rsidRDefault="003051D9" w:rsidP="001C6849"/>
    <w:p w14:paraId="438D6239" w14:textId="77777777" w:rsidR="006C79DD" w:rsidRDefault="006C79DD" w:rsidP="001C6849"/>
    <w:p w14:paraId="609DBCCD" w14:textId="77777777" w:rsidR="006256CD" w:rsidRDefault="006256CD" w:rsidP="001C6849"/>
    <w:p w14:paraId="5FE12C48" w14:textId="77777777" w:rsidR="003051D9" w:rsidRDefault="003051D9" w:rsidP="001C6849"/>
    <w:p w14:paraId="25FC8004" w14:textId="4297B1C1" w:rsidR="000C2686" w:rsidRPr="00B75D43" w:rsidRDefault="00B75D43" w:rsidP="00B1699E">
      <w:pPr>
        <w:pStyle w:val="berschrift1"/>
      </w:pPr>
      <w:r w:rsidRPr="00B75D43">
        <w:t xml:space="preserve">The Spanish Limited Liability Company </w:t>
      </w:r>
    </w:p>
    <w:p w14:paraId="62C7D0D3" w14:textId="5F482729" w:rsidR="000C2686" w:rsidRPr="000C2686" w:rsidRDefault="000C2686" w:rsidP="000C2686">
      <w:pPr>
        <w:rPr>
          <w:i/>
          <w:color w:val="000000" w:themeColor="text1"/>
        </w:rPr>
      </w:pPr>
      <w:r w:rsidRPr="00B75D43">
        <w:rPr>
          <w:i/>
          <w:color w:val="000000" w:themeColor="text1"/>
        </w:rPr>
        <w:t xml:space="preserve">By </w:t>
      </w:r>
      <w:r w:rsidR="00B906CA">
        <w:rPr>
          <w:i/>
          <w:color w:val="000000" w:themeColor="text1"/>
        </w:rPr>
        <w:t xml:space="preserve">4|5|3 </w:t>
      </w:r>
      <w:r w:rsidR="00B75D43" w:rsidRPr="00B75D43">
        <w:rPr>
          <w:i/>
          <w:color w:val="000000" w:themeColor="text1"/>
        </w:rPr>
        <w:t xml:space="preserve">Law Firm </w:t>
      </w:r>
    </w:p>
    <w:p w14:paraId="26A31169" w14:textId="77777777" w:rsidR="000C2686" w:rsidRDefault="000C2686" w:rsidP="000C2686">
      <w:pPr>
        <w:spacing w:line="240" w:lineRule="auto"/>
        <w:rPr>
          <w:rFonts w:cstheme="minorHAnsi"/>
          <w:color w:val="000000" w:themeColor="text1"/>
        </w:rPr>
      </w:pPr>
    </w:p>
    <w:p w14:paraId="52AF2054" w14:textId="77777777" w:rsidR="00CE2A34" w:rsidRPr="00CE2A34" w:rsidRDefault="00CE2A34" w:rsidP="00773C5B">
      <w:pPr>
        <w:spacing w:line="260" w:lineRule="atLeast"/>
        <w:rPr>
          <w:rFonts w:cstheme="minorHAnsi"/>
          <w:color w:val="000000" w:themeColor="text1"/>
        </w:rPr>
      </w:pPr>
      <w:r w:rsidRPr="00CE2A34">
        <w:rPr>
          <w:rFonts w:cstheme="minorHAnsi"/>
          <w:color w:val="000000" w:themeColor="text1"/>
        </w:rPr>
        <w:t xml:space="preserve">Establishing a company in a foreign country can be challenging in terms of designing the legal structure and </w:t>
      </w:r>
      <w:proofErr w:type="spellStart"/>
      <w:r w:rsidRPr="00CE2A34">
        <w:rPr>
          <w:rFonts w:cstheme="minorHAnsi"/>
          <w:color w:val="000000" w:themeColor="text1"/>
        </w:rPr>
        <w:t>organising</w:t>
      </w:r>
      <w:proofErr w:type="spellEnd"/>
      <w:r w:rsidRPr="00CE2A34">
        <w:rPr>
          <w:rFonts w:cstheme="minorHAnsi"/>
          <w:color w:val="000000" w:themeColor="text1"/>
        </w:rPr>
        <w:t xml:space="preserve"> a streamlined and efficient incorporation process. </w:t>
      </w:r>
      <w:proofErr w:type="spellStart"/>
      <w:r w:rsidRPr="00CE2A34">
        <w:rPr>
          <w:rFonts w:cstheme="minorHAnsi"/>
          <w:color w:val="000000" w:themeColor="text1"/>
        </w:rPr>
        <w:t>Alliuris</w:t>
      </w:r>
      <w:proofErr w:type="spellEnd"/>
      <w:r w:rsidRPr="00CE2A34">
        <w:rPr>
          <w:rFonts w:cstheme="minorHAnsi"/>
          <w:color w:val="000000" w:themeColor="text1"/>
        </w:rPr>
        <w:t xml:space="preserve"> member firms provide corporate legal services, </w:t>
      </w:r>
      <w:proofErr w:type="gramStart"/>
      <w:r w:rsidRPr="00CE2A34">
        <w:rPr>
          <w:rFonts w:cstheme="minorHAnsi"/>
          <w:color w:val="000000" w:themeColor="text1"/>
        </w:rPr>
        <w:t>in particular for</w:t>
      </w:r>
      <w:proofErr w:type="gramEnd"/>
      <w:r w:rsidRPr="00CE2A34">
        <w:rPr>
          <w:rFonts w:cstheme="minorHAnsi"/>
          <w:color w:val="000000" w:themeColor="text1"/>
        </w:rPr>
        <w:t xml:space="preserve"> the formation of companies in their home country. </w:t>
      </w:r>
    </w:p>
    <w:p w14:paraId="237815FA" w14:textId="77777777" w:rsidR="00CE2A34" w:rsidRPr="00CE2A34" w:rsidRDefault="00CE2A34" w:rsidP="00773C5B">
      <w:pPr>
        <w:spacing w:line="260" w:lineRule="atLeast"/>
        <w:rPr>
          <w:rFonts w:cstheme="minorHAnsi"/>
          <w:color w:val="000000" w:themeColor="text1"/>
        </w:rPr>
      </w:pPr>
    </w:p>
    <w:p w14:paraId="20502ACA" w14:textId="3CC0AFAA" w:rsidR="000C2686" w:rsidRDefault="00CE2A34" w:rsidP="00773C5B">
      <w:pPr>
        <w:spacing w:line="260" w:lineRule="atLeast"/>
        <w:rPr>
          <w:rFonts w:cstheme="minorHAnsi"/>
          <w:color w:val="000000" w:themeColor="text1"/>
        </w:rPr>
      </w:pPr>
      <w:r w:rsidRPr="00CE2A34">
        <w:rPr>
          <w:rFonts w:cstheme="minorHAnsi"/>
          <w:color w:val="000000" w:themeColor="text1"/>
        </w:rPr>
        <w:t>This article provides a brief overview of the legal form of a limited company in</w:t>
      </w:r>
      <w:r w:rsidR="00B75D43">
        <w:rPr>
          <w:rFonts w:cstheme="minorHAnsi"/>
          <w:color w:val="000000" w:themeColor="text1"/>
        </w:rPr>
        <w:t xml:space="preserve"> Spain</w:t>
      </w:r>
      <w:r w:rsidRPr="00CE2A34">
        <w:rPr>
          <w:rFonts w:cstheme="minorHAnsi"/>
          <w:color w:val="000000" w:themeColor="text1"/>
        </w:rPr>
        <w:t>.</w:t>
      </w:r>
    </w:p>
    <w:p w14:paraId="1EB4B5E2" w14:textId="77777777" w:rsidR="0036242D" w:rsidRDefault="0036242D" w:rsidP="00225183">
      <w:pPr>
        <w:pStyle w:val="berschrift2"/>
        <w:ind w:left="0"/>
      </w:pPr>
    </w:p>
    <w:p w14:paraId="2E88BCAC" w14:textId="7DDDD0E3" w:rsidR="000C2686" w:rsidRDefault="000C2686" w:rsidP="000C2686">
      <w:pPr>
        <w:spacing w:line="240" w:lineRule="auto"/>
        <w:rPr>
          <w:rFonts w:cstheme="minorHAnsi"/>
          <w:color w:val="000000" w:themeColor="text1"/>
        </w:rPr>
      </w:pPr>
    </w:p>
    <w:p w14:paraId="3241B042" w14:textId="19F38E47" w:rsidR="00225183" w:rsidRDefault="00225183" w:rsidP="00225183">
      <w:pPr>
        <w:pStyle w:val="berschrift2"/>
      </w:pPr>
      <w:r w:rsidRPr="00B75D43">
        <w:t xml:space="preserve">Overview of the Spanish </w:t>
      </w:r>
      <w:r>
        <w:t>L</w:t>
      </w:r>
      <w:r w:rsidRPr="00B75D43">
        <w:t xml:space="preserve">imited </w:t>
      </w:r>
      <w:r>
        <w:t>L</w:t>
      </w:r>
      <w:r w:rsidRPr="00B75D43">
        <w:t xml:space="preserve">iability </w:t>
      </w:r>
      <w:r>
        <w:t>C</w:t>
      </w:r>
      <w:r w:rsidRPr="00B75D43">
        <w:t xml:space="preserve">ompany </w:t>
      </w:r>
    </w:p>
    <w:p w14:paraId="14A737A1" w14:textId="77777777" w:rsidR="00225183" w:rsidRDefault="00225183" w:rsidP="000C2686">
      <w:pPr>
        <w:spacing w:line="240" w:lineRule="auto"/>
        <w:rPr>
          <w:rFonts w:cstheme="minorHAnsi"/>
          <w:color w:val="000000" w:themeColor="text1"/>
        </w:rPr>
      </w:pPr>
    </w:p>
    <w:p w14:paraId="0F7494BC" w14:textId="77777777" w:rsidR="00225183" w:rsidRDefault="00B75D43" w:rsidP="000C2686">
      <w:pPr>
        <w:spacing w:line="240" w:lineRule="auto"/>
        <w:rPr>
          <w:rFonts w:cstheme="minorHAnsi"/>
          <w:color w:val="000000" w:themeColor="text1"/>
        </w:rPr>
      </w:pPr>
      <w:r w:rsidRPr="00B75D43">
        <w:rPr>
          <w:rFonts w:cstheme="minorHAnsi"/>
          <w:color w:val="000000" w:themeColor="text1"/>
        </w:rPr>
        <w:t xml:space="preserve">Spanish Limited Liability Companies (hereinafter also referred as “SL”) are economic entities structured as capitalist organizations with a fundamentally closed nature. They are governed by the Spanish Capital Companies Act (hereinafter also referred as “SCA”). </w:t>
      </w:r>
    </w:p>
    <w:p w14:paraId="2D64CC83" w14:textId="77777777" w:rsidR="00225183" w:rsidRDefault="00225183" w:rsidP="000C2686">
      <w:pPr>
        <w:spacing w:line="240" w:lineRule="auto"/>
        <w:rPr>
          <w:rFonts w:cstheme="minorHAnsi"/>
          <w:color w:val="000000" w:themeColor="text1"/>
        </w:rPr>
      </w:pPr>
    </w:p>
    <w:p w14:paraId="38851CD0" w14:textId="21043934" w:rsidR="00225183" w:rsidRDefault="00B906CA" w:rsidP="000C2686">
      <w:pPr>
        <w:spacing w:line="240" w:lineRule="auto"/>
        <w:rPr>
          <w:rFonts w:cstheme="minorHAnsi"/>
          <w:color w:val="000000" w:themeColor="text1"/>
        </w:rPr>
      </w:pPr>
      <w:r w:rsidRPr="00B906CA">
        <w:rPr>
          <w:noProof/>
        </w:rPr>
        <w:drawing>
          <wp:anchor distT="0" distB="0" distL="114300" distR="114300" simplePos="0" relativeHeight="251658240" behindDoc="0" locked="0" layoutInCell="1" allowOverlap="1" wp14:anchorId="59D9A7CF" wp14:editId="504BEA50">
            <wp:simplePos x="0" y="0"/>
            <wp:positionH relativeFrom="column">
              <wp:posOffset>501015</wp:posOffset>
            </wp:positionH>
            <wp:positionV relativeFrom="paragraph">
              <wp:posOffset>967105</wp:posOffset>
            </wp:positionV>
            <wp:extent cx="1390650" cy="809625"/>
            <wp:effectExtent l="0" t="0" r="0" b="9525"/>
            <wp:wrapSquare wrapText="bothSides"/>
            <wp:docPr id="988469000" name="Grafik 1" descr="Ein Bild, das Schrift, Grafiken, Logo,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469000" name="Grafik 1" descr="Ein Bild, das Schrift, Grafiken, Logo, Text enthält.&#10;&#10;KI-generierte Inhalte können fehlerhaft sein."/>
                    <pic:cNvPicPr/>
                  </pic:nvPicPr>
                  <pic:blipFill rotWithShape="1">
                    <a:blip r:embed="rId8">
                      <a:extLst>
                        <a:ext uri="{28A0092B-C50C-407E-A947-70E740481C1C}">
                          <a14:useLocalDpi xmlns:a14="http://schemas.microsoft.com/office/drawing/2010/main" val="0"/>
                        </a:ext>
                      </a:extLst>
                    </a:blip>
                    <a:srcRect r="41600"/>
                    <a:stretch/>
                  </pic:blipFill>
                  <pic:spPr bwMode="auto">
                    <a:xfrm>
                      <a:off x="0" y="0"/>
                      <a:ext cx="139065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75D43" w:rsidRPr="00B75D43">
        <w:rPr>
          <w:rFonts w:cstheme="minorHAnsi"/>
          <w:color w:val="000000" w:themeColor="text1"/>
        </w:rPr>
        <w:t>SLs were originally designed for smaller businesses with a limited number of shareholders, typically connected by family ties or personal trust. This structure gave them a more closed and flexible nature, with restrictions on share transfers and fewer formalities compared to public limited companies (</w:t>
      </w:r>
      <w:proofErr w:type="spellStart"/>
      <w:r w:rsidR="00B75D43" w:rsidRPr="000048FE">
        <w:rPr>
          <w:rFonts w:cstheme="minorHAnsi"/>
          <w:i/>
          <w:iCs/>
          <w:color w:val="000000" w:themeColor="text1"/>
        </w:rPr>
        <w:t>Sociedades</w:t>
      </w:r>
      <w:proofErr w:type="spellEnd"/>
      <w:r w:rsidR="00B75D43" w:rsidRPr="000048FE">
        <w:rPr>
          <w:rFonts w:cstheme="minorHAnsi"/>
          <w:i/>
          <w:iCs/>
          <w:color w:val="000000" w:themeColor="text1"/>
        </w:rPr>
        <w:t xml:space="preserve"> de </w:t>
      </w:r>
      <w:proofErr w:type="spellStart"/>
      <w:r w:rsidR="00B75D43" w:rsidRPr="000048FE">
        <w:rPr>
          <w:rFonts w:cstheme="minorHAnsi"/>
          <w:i/>
          <w:iCs/>
          <w:color w:val="000000" w:themeColor="text1"/>
        </w:rPr>
        <w:t>Responsabilidad</w:t>
      </w:r>
      <w:proofErr w:type="spellEnd"/>
      <w:r w:rsidR="00B75D43" w:rsidRPr="000048FE">
        <w:rPr>
          <w:rFonts w:cstheme="minorHAnsi"/>
          <w:i/>
          <w:iCs/>
          <w:color w:val="000000" w:themeColor="text1"/>
        </w:rPr>
        <w:t xml:space="preserve"> </w:t>
      </w:r>
      <w:proofErr w:type="spellStart"/>
      <w:r w:rsidR="00B75D43" w:rsidRPr="000048FE">
        <w:rPr>
          <w:rFonts w:cstheme="minorHAnsi"/>
          <w:i/>
          <w:iCs/>
          <w:color w:val="000000" w:themeColor="text1"/>
        </w:rPr>
        <w:t>Anónimas</w:t>
      </w:r>
      <w:proofErr w:type="spellEnd"/>
      <w:r w:rsidR="00B75D43" w:rsidRPr="00B75D43">
        <w:rPr>
          <w:rFonts w:cstheme="minorHAnsi"/>
          <w:color w:val="000000" w:themeColor="text1"/>
        </w:rPr>
        <w:t xml:space="preserve">). Over time, legislative changes have narrowed these differences, </w:t>
      </w:r>
      <w:proofErr w:type="gramStart"/>
      <w:r w:rsidR="00B75D43" w:rsidRPr="00B75D43">
        <w:rPr>
          <w:rFonts w:cstheme="minorHAnsi"/>
          <w:color w:val="000000" w:themeColor="text1"/>
        </w:rPr>
        <w:t>streamlining</w:t>
      </w:r>
      <w:proofErr w:type="gramEnd"/>
      <w:r w:rsidR="00B75D43" w:rsidRPr="00B75D43">
        <w:rPr>
          <w:rFonts w:cstheme="minorHAnsi"/>
          <w:color w:val="000000" w:themeColor="text1"/>
        </w:rPr>
        <w:t xml:space="preserve"> regulations and reducing operational complexities. However, under current legislation, SLs still retain their distinctive flexibility, particularly in restricting share transfers and offering advantages in asset protection and independent valuations for specific transactions, such as non-cash capital increases or structural modifications. </w:t>
      </w:r>
    </w:p>
    <w:p w14:paraId="096977BD" w14:textId="2B88251B" w:rsidR="00225183" w:rsidRDefault="00225183" w:rsidP="000C2686">
      <w:pPr>
        <w:spacing w:line="240" w:lineRule="auto"/>
        <w:rPr>
          <w:rFonts w:cstheme="minorHAnsi"/>
          <w:color w:val="000000" w:themeColor="text1"/>
        </w:rPr>
      </w:pPr>
    </w:p>
    <w:p w14:paraId="09203D54" w14:textId="7F2F3D23" w:rsidR="00225183" w:rsidRDefault="00B75D43" w:rsidP="000C2686">
      <w:pPr>
        <w:spacing w:line="240" w:lineRule="auto"/>
        <w:rPr>
          <w:rFonts w:cstheme="minorHAnsi"/>
          <w:color w:val="000000" w:themeColor="text1"/>
        </w:rPr>
      </w:pPr>
      <w:r w:rsidRPr="00B75D43">
        <w:rPr>
          <w:rFonts w:cstheme="minorHAnsi"/>
          <w:color w:val="000000" w:themeColor="text1"/>
        </w:rPr>
        <w:t xml:space="preserve">SL is </w:t>
      </w:r>
      <w:proofErr w:type="gramStart"/>
      <w:r w:rsidRPr="00B75D43">
        <w:rPr>
          <w:rFonts w:cstheme="minorHAnsi"/>
          <w:color w:val="000000" w:themeColor="text1"/>
        </w:rPr>
        <w:t>definitely the</w:t>
      </w:r>
      <w:proofErr w:type="gramEnd"/>
      <w:r w:rsidRPr="00B75D43">
        <w:rPr>
          <w:rFonts w:cstheme="minorHAnsi"/>
          <w:color w:val="000000" w:themeColor="text1"/>
        </w:rPr>
        <w:t xml:space="preserve"> most popular corporate form in Spain. This is the form adopted by most companies –including big international groups- willing to invest in Spain.</w:t>
      </w:r>
    </w:p>
    <w:p w14:paraId="2F94004F" w14:textId="77777777" w:rsidR="00225183" w:rsidRDefault="00225183" w:rsidP="000C2686">
      <w:pPr>
        <w:spacing w:line="240" w:lineRule="auto"/>
        <w:rPr>
          <w:rFonts w:cstheme="minorHAnsi"/>
          <w:color w:val="000000" w:themeColor="text1"/>
        </w:rPr>
      </w:pPr>
    </w:p>
    <w:p w14:paraId="5055E797" w14:textId="77777777" w:rsidR="00E64582" w:rsidRDefault="00E64582" w:rsidP="000C2686">
      <w:pPr>
        <w:spacing w:line="240" w:lineRule="auto"/>
        <w:rPr>
          <w:rFonts w:cstheme="minorHAnsi"/>
          <w:color w:val="000000" w:themeColor="text1"/>
        </w:rPr>
      </w:pPr>
    </w:p>
    <w:p w14:paraId="5B2D4CE9" w14:textId="77777777" w:rsidR="00225183" w:rsidRDefault="00225183" w:rsidP="000C2686">
      <w:pPr>
        <w:spacing w:line="240" w:lineRule="auto"/>
        <w:rPr>
          <w:rFonts w:cstheme="minorHAnsi"/>
          <w:color w:val="000000" w:themeColor="text1"/>
        </w:rPr>
      </w:pPr>
    </w:p>
    <w:p w14:paraId="534D2FF8" w14:textId="19719023" w:rsidR="00225183" w:rsidRDefault="00225183" w:rsidP="00225183">
      <w:pPr>
        <w:pStyle w:val="berschrift2"/>
      </w:pPr>
      <w:r w:rsidRPr="00B75D43">
        <w:lastRenderedPageBreak/>
        <w:t xml:space="preserve">Formation </w:t>
      </w:r>
      <w:r>
        <w:t>a</w:t>
      </w:r>
      <w:r w:rsidRPr="00B75D43">
        <w:t xml:space="preserve">nd </w:t>
      </w:r>
      <w:r>
        <w:t>r</w:t>
      </w:r>
      <w:r w:rsidRPr="00B75D43">
        <w:t xml:space="preserve">egistration </w:t>
      </w:r>
    </w:p>
    <w:p w14:paraId="4D86B2CD" w14:textId="7F5E9A32" w:rsidR="00225183" w:rsidRPr="00225183" w:rsidRDefault="00225183" w:rsidP="00225183"/>
    <w:p w14:paraId="131D3433" w14:textId="7631A319" w:rsidR="00225183" w:rsidRDefault="00B75D43" w:rsidP="000C2686">
      <w:pPr>
        <w:spacing w:line="240" w:lineRule="auto"/>
        <w:rPr>
          <w:rFonts w:cstheme="minorHAnsi"/>
          <w:color w:val="000000" w:themeColor="text1"/>
        </w:rPr>
      </w:pPr>
      <w:r w:rsidRPr="00B75D43">
        <w:rPr>
          <w:rFonts w:cstheme="minorHAnsi"/>
          <w:color w:val="000000" w:themeColor="text1"/>
        </w:rPr>
        <w:t>The first thing to be done is to submit possible names for the company to the Central Companies Registry (</w:t>
      </w:r>
      <w:proofErr w:type="spellStart"/>
      <w:r w:rsidRPr="000048FE">
        <w:rPr>
          <w:rFonts w:cstheme="minorHAnsi"/>
          <w:i/>
          <w:iCs/>
          <w:color w:val="000000" w:themeColor="text1"/>
        </w:rPr>
        <w:t>Registro</w:t>
      </w:r>
      <w:proofErr w:type="spellEnd"/>
      <w:r w:rsidRPr="000048FE">
        <w:rPr>
          <w:rFonts w:cstheme="minorHAnsi"/>
          <w:i/>
          <w:iCs/>
          <w:color w:val="000000" w:themeColor="text1"/>
        </w:rPr>
        <w:t xml:space="preserve"> Mercantil Central</w:t>
      </w:r>
      <w:r w:rsidRPr="00B75D43">
        <w:rPr>
          <w:rFonts w:cstheme="minorHAnsi"/>
          <w:color w:val="000000" w:themeColor="text1"/>
        </w:rPr>
        <w:t>) to check that no other company is registered under the same name. Provided there is not, you will receive a Negative Name Certificate (</w:t>
      </w:r>
      <w:proofErr w:type="spellStart"/>
      <w:r w:rsidRPr="000048FE">
        <w:rPr>
          <w:rFonts w:cstheme="minorHAnsi"/>
          <w:i/>
          <w:iCs/>
          <w:color w:val="000000" w:themeColor="text1"/>
        </w:rPr>
        <w:t>Certificado</w:t>
      </w:r>
      <w:proofErr w:type="spellEnd"/>
      <w:r w:rsidRPr="000048FE">
        <w:rPr>
          <w:rFonts w:cstheme="minorHAnsi"/>
          <w:i/>
          <w:iCs/>
          <w:color w:val="000000" w:themeColor="text1"/>
        </w:rPr>
        <w:t xml:space="preserve"> </w:t>
      </w:r>
      <w:proofErr w:type="spellStart"/>
      <w:r w:rsidRPr="000048FE">
        <w:rPr>
          <w:rFonts w:cstheme="minorHAnsi"/>
          <w:i/>
          <w:iCs/>
          <w:color w:val="000000" w:themeColor="text1"/>
        </w:rPr>
        <w:t>Negativo</w:t>
      </w:r>
      <w:proofErr w:type="spellEnd"/>
      <w:r w:rsidRPr="000048FE">
        <w:rPr>
          <w:rFonts w:cstheme="minorHAnsi"/>
          <w:i/>
          <w:iCs/>
          <w:color w:val="000000" w:themeColor="text1"/>
        </w:rPr>
        <w:t xml:space="preserve"> de Nombre</w:t>
      </w:r>
      <w:r w:rsidRPr="00B75D43">
        <w:rPr>
          <w:rFonts w:cstheme="minorHAnsi"/>
          <w:color w:val="000000" w:themeColor="text1"/>
        </w:rPr>
        <w:t>). This process may take between 3 and 5 days. The said certificate allows the new shareholders to open a bank account in the company’s name and deposit the share capital (see below).</w:t>
      </w:r>
      <w:r w:rsidR="00225183">
        <w:rPr>
          <w:rStyle w:val="Funotenzeichen"/>
          <w:rFonts w:cstheme="minorHAnsi"/>
          <w:color w:val="000000" w:themeColor="text1"/>
        </w:rPr>
        <w:footnoteReference w:id="1"/>
      </w:r>
      <w:r w:rsidR="00225183">
        <w:rPr>
          <w:rFonts w:cstheme="minorHAnsi"/>
          <w:color w:val="000000" w:themeColor="text1"/>
        </w:rPr>
        <w:t xml:space="preserve">The </w:t>
      </w:r>
      <w:r w:rsidRPr="00B75D43">
        <w:rPr>
          <w:rFonts w:cstheme="minorHAnsi"/>
          <w:color w:val="000000" w:themeColor="text1"/>
        </w:rPr>
        <w:t>Bank will provide shareholders with a certificate</w:t>
      </w:r>
      <w:r w:rsidR="00225183">
        <w:rPr>
          <w:rStyle w:val="Funotenzeichen"/>
          <w:rFonts w:cstheme="minorHAnsi"/>
          <w:color w:val="000000" w:themeColor="text1"/>
        </w:rPr>
        <w:footnoteReference w:id="2"/>
      </w:r>
      <w:r w:rsidRPr="00B75D43">
        <w:rPr>
          <w:rFonts w:cstheme="minorHAnsi"/>
          <w:color w:val="000000" w:themeColor="text1"/>
        </w:rPr>
        <w:t xml:space="preserve"> to prove they have deposited the required capital. The two </w:t>
      </w:r>
      <w:proofErr w:type="gramStart"/>
      <w:r w:rsidRPr="00B75D43">
        <w:rPr>
          <w:rFonts w:cstheme="minorHAnsi"/>
          <w:color w:val="000000" w:themeColor="text1"/>
        </w:rPr>
        <w:t>above referred</w:t>
      </w:r>
      <w:proofErr w:type="gramEnd"/>
      <w:r w:rsidRPr="00B75D43">
        <w:rPr>
          <w:rFonts w:cstheme="minorHAnsi"/>
          <w:color w:val="000000" w:themeColor="text1"/>
        </w:rPr>
        <w:t xml:space="preserve"> certificates together with the company’s by-laws are enough to prepare and execute the deed of incorporation, to be </w:t>
      </w:r>
      <w:proofErr w:type="spellStart"/>
      <w:r w:rsidRPr="00B75D43">
        <w:rPr>
          <w:rFonts w:cstheme="minorHAnsi"/>
          <w:color w:val="000000" w:themeColor="text1"/>
        </w:rPr>
        <w:t>authorised</w:t>
      </w:r>
      <w:proofErr w:type="spellEnd"/>
      <w:r w:rsidRPr="00B75D43">
        <w:rPr>
          <w:rFonts w:cstheme="minorHAnsi"/>
          <w:color w:val="000000" w:themeColor="text1"/>
        </w:rPr>
        <w:t xml:space="preserve"> by a Public Notary. </w:t>
      </w:r>
    </w:p>
    <w:p w14:paraId="53B04596" w14:textId="77777777" w:rsidR="00225183" w:rsidRDefault="00225183" w:rsidP="000C2686">
      <w:pPr>
        <w:spacing w:line="240" w:lineRule="auto"/>
        <w:rPr>
          <w:rFonts w:cstheme="minorHAnsi"/>
          <w:color w:val="000000" w:themeColor="text1"/>
        </w:rPr>
      </w:pPr>
    </w:p>
    <w:p w14:paraId="0A566D31" w14:textId="184A2E22" w:rsidR="00225183" w:rsidRDefault="00B75D43" w:rsidP="000C2686">
      <w:pPr>
        <w:spacing w:line="240" w:lineRule="auto"/>
        <w:rPr>
          <w:rFonts w:cstheme="minorHAnsi"/>
          <w:color w:val="000000" w:themeColor="text1"/>
        </w:rPr>
      </w:pPr>
      <w:r w:rsidRPr="00B75D43">
        <w:rPr>
          <w:rFonts w:cstheme="minorHAnsi"/>
          <w:color w:val="000000" w:themeColor="text1"/>
        </w:rPr>
        <w:t xml:space="preserve">This deed of incorporation must include the essential characteristics of the new company, explicitly stating the intention to establish it. These include the company name, share capital, registered office, individualized contributions of the shareholders, and the initial management body. Additionally, the deed of incorporation must incorporate the company’s bylaws, which will govern its operations. The whole process usually takes 12-15 working days in total. In </w:t>
      </w:r>
      <w:proofErr w:type="gramStart"/>
      <w:r w:rsidRPr="00B75D43">
        <w:rPr>
          <w:rFonts w:cstheme="minorHAnsi"/>
          <w:color w:val="000000" w:themeColor="text1"/>
        </w:rPr>
        <w:t>addition</w:t>
      </w:r>
      <w:proofErr w:type="gramEnd"/>
      <w:r w:rsidRPr="00B75D43">
        <w:rPr>
          <w:rFonts w:cstheme="minorHAnsi"/>
          <w:color w:val="000000" w:themeColor="text1"/>
        </w:rPr>
        <w:t xml:space="preserve"> you may allow two more weeks for the registration of the deed of incorporation in the Commercial Registry (</w:t>
      </w:r>
      <w:proofErr w:type="spellStart"/>
      <w:r w:rsidRPr="00B906CA">
        <w:rPr>
          <w:rFonts w:cstheme="minorHAnsi"/>
          <w:i/>
          <w:iCs/>
          <w:color w:val="000000" w:themeColor="text1"/>
        </w:rPr>
        <w:t>Registro</w:t>
      </w:r>
      <w:proofErr w:type="spellEnd"/>
      <w:r w:rsidRPr="00B906CA">
        <w:rPr>
          <w:rFonts w:cstheme="minorHAnsi"/>
          <w:i/>
          <w:iCs/>
          <w:color w:val="000000" w:themeColor="text1"/>
        </w:rPr>
        <w:t xml:space="preserve"> Mercantil</w:t>
      </w:r>
      <w:r w:rsidRPr="00B75D43">
        <w:rPr>
          <w:rFonts w:cstheme="minorHAnsi"/>
          <w:color w:val="000000" w:themeColor="text1"/>
        </w:rPr>
        <w:t xml:space="preserve">). </w:t>
      </w:r>
    </w:p>
    <w:p w14:paraId="7B3BE73F" w14:textId="77777777" w:rsidR="00225183" w:rsidRDefault="00225183" w:rsidP="000C2686">
      <w:pPr>
        <w:spacing w:line="240" w:lineRule="auto"/>
        <w:rPr>
          <w:rFonts w:cstheme="minorHAnsi"/>
          <w:color w:val="000000" w:themeColor="text1"/>
        </w:rPr>
      </w:pPr>
    </w:p>
    <w:p w14:paraId="28CF1B0E" w14:textId="77777777" w:rsidR="00225183" w:rsidRDefault="00225183" w:rsidP="00225183">
      <w:pPr>
        <w:pStyle w:val="berschrift2"/>
      </w:pPr>
    </w:p>
    <w:p w14:paraId="229DA193" w14:textId="2C96A266" w:rsidR="00225183" w:rsidRDefault="00225183" w:rsidP="00225183">
      <w:pPr>
        <w:pStyle w:val="berschrift2"/>
      </w:pPr>
      <w:r>
        <w:t>S</w:t>
      </w:r>
      <w:r w:rsidRPr="00B75D43">
        <w:t xml:space="preserve">hareholders and management </w:t>
      </w:r>
    </w:p>
    <w:p w14:paraId="4E331FF1" w14:textId="77777777" w:rsidR="00225183" w:rsidRDefault="00225183" w:rsidP="000C2686">
      <w:pPr>
        <w:spacing w:line="240" w:lineRule="auto"/>
        <w:rPr>
          <w:rFonts w:cstheme="minorHAnsi"/>
          <w:color w:val="000000" w:themeColor="text1"/>
        </w:rPr>
      </w:pPr>
    </w:p>
    <w:p w14:paraId="34A3C4C7" w14:textId="77777777" w:rsidR="00225183" w:rsidRDefault="00B75D43" w:rsidP="000C2686">
      <w:pPr>
        <w:spacing w:line="240" w:lineRule="auto"/>
        <w:rPr>
          <w:rFonts w:cstheme="minorHAnsi"/>
          <w:color w:val="000000" w:themeColor="text1"/>
        </w:rPr>
      </w:pPr>
      <w:r w:rsidRPr="00B75D43">
        <w:rPr>
          <w:rFonts w:cstheme="minorHAnsi"/>
          <w:color w:val="000000" w:themeColor="text1"/>
        </w:rPr>
        <w:t xml:space="preserve">SL can be incorporated by a single or several shareholders. The shareholder/s may be legal persons or natural persons. Foreign </w:t>
      </w:r>
      <w:proofErr w:type="gramStart"/>
      <w:r w:rsidRPr="00B75D43">
        <w:rPr>
          <w:rFonts w:cstheme="minorHAnsi"/>
          <w:color w:val="000000" w:themeColor="text1"/>
        </w:rPr>
        <w:t>persons</w:t>
      </w:r>
      <w:proofErr w:type="gramEnd"/>
      <w:r w:rsidRPr="00B75D43">
        <w:rPr>
          <w:rFonts w:cstheme="minorHAnsi"/>
          <w:color w:val="000000" w:themeColor="text1"/>
        </w:rPr>
        <w:t xml:space="preserve"> are also entitled to be shareholders. </w:t>
      </w:r>
    </w:p>
    <w:p w14:paraId="4416300C" w14:textId="77777777" w:rsidR="00225183" w:rsidRDefault="00225183" w:rsidP="000C2686">
      <w:pPr>
        <w:spacing w:line="240" w:lineRule="auto"/>
        <w:rPr>
          <w:rFonts w:cstheme="minorHAnsi"/>
          <w:color w:val="000000" w:themeColor="text1"/>
        </w:rPr>
      </w:pPr>
    </w:p>
    <w:p w14:paraId="406E10A7" w14:textId="77777777" w:rsidR="00225183" w:rsidRDefault="00B75D43" w:rsidP="000C2686">
      <w:pPr>
        <w:spacing w:line="240" w:lineRule="auto"/>
        <w:rPr>
          <w:rFonts w:cstheme="minorHAnsi"/>
          <w:color w:val="000000" w:themeColor="text1"/>
        </w:rPr>
      </w:pPr>
      <w:r w:rsidRPr="00B75D43">
        <w:rPr>
          <w:rFonts w:cstheme="minorHAnsi"/>
          <w:color w:val="000000" w:themeColor="text1"/>
        </w:rPr>
        <w:t xml:space="preserve">When all shares are hold by one sole shareholder a communication has to be filled within the Commercial Registry informing about the identity of the said sole shareholder; in </w:t>
      </w:r>
      <w:proofErr w:type="gramStart"/>
      <w:r w:rsidRPr="00B75D43">
        <w:rPr>
          <w:rFonts w:cstheme="minorHAnsi"/>
          <w:color w:val="000000" w:themeColor="text1"/>
        </w:rPr>
        <w:t>addition</w:t>
      </w:r>
      <w:proofErr w:type="gramEnd"/>
      <w:r w:rsidRPr="00B75D43">
        <w:rPr>
          <w:rFonts w:cstheme="minorHAnsi"/>
          <w:color w:val="000000" w:themeColor="text1"/>
        </w:rPr>
        <w:t xml:space="preserve"> the word “</w:t>
      </w:r>
      <w:r w:rsidRPr="00225183">
        <w:rPr>
          <w:rFonts w:cstheme="minorHAnsi"/>
          <w:i/>
          <w:iCs/>
          <w:color w:val="000000" w:themeColor="text1"/>
        </w:rPr>
        <w:t>unipersonal</w:t>
      </w:r>
      <w:r w:rsidRPr="00B75D43">
        <w:rPr>
          <w:rFonts w:cstheme="minorHAnsi"/>
          <w:color w:val="000000" w:themeColor="text1"/>
        </w:rPr>
        <w:t xml:space="preserve">” will be added to the corporate name (SL becomes SLU). </w:t>
      </w:r>
    </w:p>
    <w:p w14:paraId="5D2F95FC" w14:textId="77777777" w:rsidR="00225183" w:rsidRDefault="00225183" w:rsidP="000C2686">
      <w:pPr>
        <w:spacing w:line="240" w:lineRule="auto"/>
        <w:rPr>
          <w:rFonts w:cstheme="minorHAnsi"/>
          <w:color w:val="000000" w:themeColor="text1"/>
        </w:rPr>
      </w:pPr>
    </w:p>
    <w:p w14:paraId="7BFD9D6C" w14:textId="77777777" w:rsidR="000048FE" w:rsidRDefault="00B75D43" w:rsidP="000048FE">
      <w:pPr>
        <w:spacing w:line="240" w:lineRule="auto"/>
        <w:rPr>
          <w:rFonts w:cstheme="minorHAnsi"/>
          <w:color w:val="000000" w:themeColor="text1"/>
        </w:rPr>
      </w:pPr>
      <w:r w:rsidRPr="00B75D43">
        <w:rPr>
          <w:rFonts w:cstheme="minorHAnsi"/>
          <w:color w:val="000000" w:themeColor="text1"/>
        </w:rPr>
        <w:t xml:space="preserve">The management and representation of </w:t>
      </w:r>
      <w:proofErr w:type="gramStart"/>
      <w:r w:rsidRPr="00B75D43">
        <w:rPr>
          <w:rFonts w:cstheme="minorHAnsi"/>
          <w:color w:val="000000" w:themeColor="text1"/>
        </w:rPr>
        <w:t>a SL</w:t>
      </w:r>
      <w:proofErr w:type="gramEnd"/>
      <w:r w:rsidRPr="00B75D43">
        <w:rPr>
          <w:rFonts w:cstheme="minorHAnsi"/>
          <w:color w:val="000000" w:themeColor="text1"/>
        </w:rPr>
        <w:t xml:space="preserve"> can lie with either one or multiple directors (being a legal person or a natural person). A minimum of three directors are required to compose a Board of Directors (</w:t>
      </w:r>
      <w:r w:rsidRPr="00225183">
        <w:rPr>
          <w:rFonts w:cstheme="minorHAnsi"/>
          <w:i/>
          <w:iCs/>
          <w:color w:val="000000" w:themeColor="text1"/>
        </w:rPr>
        <w:t>Consejo de Administración</w:t>
      </w:r>
      <w:r w:rsidRPr="00B75D43">
        <w:rPr>
          <w:rFonts w:cstheme="minorHAnsi"/>
          <w:color w:val="000000" w:themeColor="text1"/>
        </w:rPr>
        <w:t xml:space="preserve">). A non-shareholder may become a director, unless otherwise stated in the by-Laws. Non-EU </w:t>
      </w:r>
      <w:proofErr w:type="gramStart"/>
      <w:r w:rsidRPr="00B75D43">
        <w:rPr>
          <w:rFonts w:cstheme="minorHAnsi"/>
          <w:color w:val="000000" w:themeColor="text1"/>
        </w:rPr>
        <w:t>persons</w:t>
      </w:r>
      <w:proofErr w:type="gramEnd"/>
      <w:r w:rsidRPr="00B75D43">
        <w:rPr>
          <w:rFonts w:cstheme="minorHAnsi"/>
          <w:color w:val="000000" w:themeColor="text1"/>
        </w:rPr>
        <w:t xml:space="preserve"> may become directors in a SL. However, foreign (even EU citizens) persons becoming a shareholder and/or director must first obtain a Foreign national identity number (</w:t>
      </w:r>
      <w:r w:rsidRPr="000048FE">
        <w:rPr>
          <w:rFonts w:cstheme="minorHAnsi"/>
          <w:i/>
          <w:iCs/>
          <w:color w:val="000000" w:themeColor="text1"/>
        </w:rPr>
        <w:t xml:space="preserve">NIE: </w:t>
      </w:r>
      <w:proofErr w:type="spellStart"/>
      <w:r w:rsidRPr="000048FE">
        <w:rPr>
          <w:rFonts w:cstheme="minorHAnsi"/>
          <w:i/>
          <w:iCs/>
          <w:color w:val="000000" w:themeColor="text1"/>
        </w:rPr>
        <w:t>Número</w:t>
      </w:r>
      <w:proofErr w:type="spellEnd"/>
      <w:r w:rsidRPr="000048FE">
        <w:rPr>
          <w:rFonts w:cstheme="minorHAnsi"/>
          <w:i/>
          <w:iCs/>
          <w:color w:val="000000" w:themeColor="text1"/>
        </w:rPr>
        <w:t xml:space="preserve"> de </w:t>
      </w:r>
      <w:proofErr w:type="spellStart"/>
      <w:r w:rsidRPr="000048FE">
        <w:rPr>
          <w:rFonts w:cstheme="minorHAnsi"/>
          <w:i/>
          <w:iCs/>
          <w:color w:val="000000" w:themeColor="text1"/>
        </w:rPr>
        <w:t>Identificación</w:t>
      </w:r>
      <w:proofErr w:type="spellEnd"/>
      <w:r w:rsidRPr="000048FE">
        <w:rPr>
          <w:rFonts w:cstheme="minorHAnsi"/>
          <w:i/>
          <w:iCs/>
          <w:color w:val="000000" w:themeColor="text1"/>
        </w:rPr>
        <w:t xml:space="preserve"> de </w:t>
      </w:r>
      <w:proofErr w:type="spellStart"/>
      <w:r w:rsidRPr="000048FE">
        <w:rPr>
          <w:rFonts w:cstheme="minorHAnsi"/>
          <w:i/>
          <w:iCs/>
          <w:color w:val="000000" w:themeColor="text1"/>
        </w:rPr>
        <w:t>Extranjeros</w:t>
      </w:r>
      <w:proofErr w:type="spellEnd"/>
      <w:r w:rsidRPr="00B75D43">
        <w:rPr>
          <w:rFonts w:cstheme="minorHAnsi"/>
          <w:color w:val="000000" w:themeColor="text1"/>
        </w:rPr>
        <w:t xml:space="preserve">). The above also applies to legal </w:t>
      </w:r>
      <w:proofErr w:type="gramStart"/>
      <w:r w:rsidRPr="00B75D43">
        <w:rPr>
          <w:rFonts w:cstheme="minorHAnsi"/>
          <w:color w:val="000000" w:themeColor="text1"/>
        </w:rPr>
        <w:t>persons</w:t>
      </w:r>
      <w:proofErr w:type="gramEnd"/>
      <w:r w:rsidRPr="00B75D43">
        <w:rPr>
          <w:rFonts w:cstheme="minorHAnsi"/>
          <w:color w:val="000000" w:themeColor="text1"/>
        </w:rPr>
        <w:t xml:space="preserve">. </w:t>
      </w:r>
    </w:p>
    <w:p w14:paraId="52726D61" w14:textId="77777777" w:rsidR="000048FE" w:rsidRDefault="000048FE" w:rsidP="000048FE">
      <w:pPr>
        <w:spacing w:line="240" w:lineRule="auto"/>
        <w:rPr>
          <w:rFonts w:cstheme="minorHAnsi"/>
          <w:color w:val="000000" w:themeColor="text1"/>
        </w:rPr>
      </w:pPr>
    </w:p>
    <w:p w14:paraId="10D6DC7B" w14:textId="77777777" w:rsidR="000048FE" w:rsidRDefault="00B75D43" w:rsidP="000048FE">
      <w:pPr>
        <w:spacing w:line="240" w:lineRule="auto"/>
        <w:rPr>
          <w:rFonts w:cstheme="minorHAnsi"/>
          <w:color w:val="000000" w:themeColor="text1"/>
        </w:rPr>
      </w:pPr>
      <w:r w:rsidRPr="00B75D43">
        <w:rPr>
          <w:rFonts w:cstheme="minorHAnsi"/>
          <w:color w:val="000000" w:themeColor="text1"/>
        </w:rPr>
        <w:lastRenderedPageBreak/>
        <w:t xml:space="preserve">In addition to the above referred NIE, the following documents may be required for both shareholders and directors. </w:t>
      </w:r>
    </w:p>
    <w:p w14:paraId="11B26AE3" w14:textId="77777777" w:rsidR="000048FE" w:rsidRDefault="000048FE" w:rsidP="000048FE">
      <w:pPr>
        <w:spacing w:line="240" w:lineRule="auto"/>
        <w:rPr>
          <w:rFonts w:cstheme="minorHAnsi"/>
          <w:color w:val="000000" w:themeColor="text1"/>
        </w:rPr>
      </w:pPr>
    </w:p>
    <w:p w14:paraId="21119D0A" w14:textId="77777777" w:rsidR="000048FE" w:rsidRPr="000048FE" w:rsidRDefault="00B75D43" w:rsidP="000048FE">
      <w:pPr>
        <w:pStyle w:val="Listenabsatz"/>
        <w:numPr>
          <w:ilvl w:val="0"/>
          <w:numId w:val="8"/>
        </w:numPr>
        <w:spacing w:line="240" w:lineRule="auto"/>
        <w:rPr>
          <w:rFonts w:cstheme="minorHAnsi"/>
          <w:color w:val="000000" w:themeColor="text1"/>
        </w:rPr>
      </w:pPr>
      <w:r w:rsidRPr="000048FE">
        <w:rPr>
          <w:rFonts w:cstheme="minorHAnsi"/>
          <w:color w:val="000000" w:themeColor="text1"/>
          <w:u w:val="single"/>
        </w:rPr>
        <w:t>Individuals:</w:t>
      </w:r>
      <w:r w:rsidRPr="000048FE">
        <w:rPr>
          <w:rFonts w:cstheme="minorHAnsi"/>
          <w:color w:val="000000" w:themeColor="text1"/>
        </w:rPr>
        <w:t xml:space="preserve"> Passport + NIE shall be enough. Should a proxy be required, said proxy must be drafted in Spanish or, if drafted in another language, it must be accompanied with sworn translation into Spanish and the Hague Apostille. </w:t>
      </w:r>
    </w:p>
    <w:p w14:paraId="280F92BF" w14:textId="77777777" w:rsidR="000048FE" w:rsidRDefault="000048FE" w:rsidP="000048FE">
      <w:pPr>
        <w:spacing w:line="240" w:lineRule="auto"/>
        <w:rPr>
          <w:rFonts w:cstheme="minorHAnsi"/>
          <w:color w:val="000000" w:themeColor="text1"/>
        </w:rPr>
      </w:pPr>
    </w:p>
    <w:p w14:paraId="2C2AB340" w14:textId="77777777" w:rsidR="000048FE" w:rsidRPr="000048FE" w:rsidRDefault="00B75D43" w:rsidP="000048FE">
      <w:pPr>
        <w:pStyle w:val="Listenabsatz"/>
        <w:numPr>
          <w:ilvl w:val="0"/>
          <w:numId w:val="8"/>
        </w:numPr>
        <w:spacing w:line="240" w:lineRule="auto"/>
        <w:rPr>
          <w:rFonts w:cstheme="minorHAnsi"/>
          <w:color w:val="000000" w:themeColor="text1"/>
        </w:rPr>
      </w:pPr>
      <w:r w:rsidRPr="000048FE">
        <w:rPr>
          <w:rFonts w:cstheme="minorHAnsi"/>
          <w:color w:val="000000" w:themeColor="text1"/>
          <w:u w:val="single"/>
        </w:rPr>
        <w:t>Legal entities (companies):</w:t>
      </w:r>
      <w:r w:rsidRPr="000048FE">
        <w:rPr>
          <w:rFonts w:cstheme="minorHAnsi"/>
          <w:color w:val="000000" w:themeColor="text1"/>
        </w:rPr>
        <w:t xml:space="preserve"> We need to provide the Notary with an excerpt of the commercial register stating the company is dully registered and existing under the laws of the relevant country, including the name and faculties of the director who will act on behalf of the company for the formation of the Spanish SL. Said excerpt must be accompanied with a sworn translation into Spanish and the Hague Apostille.</w:t>
      </w:r>
    </w:p>
    <w:p w14:paraId="06380CB7" w14:textId="77777777" w:rsidR="000048FE" w:rsidRDefault="000048FE" w:rsidP="000048FE">
      <w:pPr>
        <w:spacing w:line="240" w:lineRule="auto"/>
        <w:rPr>
          <w:rFonts w:cstheme="minorHAnsi"/>
          <w:color w:val="000000" w:themeColor="text1"/>
        </w:rPr>
      </w:pPr>
    </w:p>
    <w:p w14:paraId="300B539C" w14:textId="75A1514A" w:rsidR="000048FE" w:rsidRDefault="00B75D43" w:rsidP="000048FE">
      <w:pPr>
        <w:spacing w:line="240" w:lineRule="auto"/>
        <w:rPr>
          <w:rFonts w:cstheme="minorHAnsi"/>
          <w:color w:val="000000" w:themeColor="text1"/>
        </w:rPr>
      </w:pPr>
      <w:r w:rsidRPr="00B75D43">
        <w:rPr>
          <w:rFonts w:cstheme="minorHAnsi"/>
          <w:color w:val="000000" w:themeColor="text1"/>
        </w:rPr>
        <w:t>If the name and faculties of the director are not mentioned in the excerpt (or the person who will act on behalf of the company is not a director) a specific Board Resolution appointing said representative and granting the relevant faculties will be required. Finally, information as for the identity of the ultimate beneficial owner/s</w:t>
      </w:r>
      <w:r w:rsidR="000048FE">
        <w:rPr>
          <w:rStyle w:val="Funotenzeichen"/>
          <w:rFonts w:cstheme="minorHAnsi"/>
          <w:color w:val="000000" w:themeColor="text1"/>
        </w:rPr>
        <w:footnoteReference w:id="3"/>
      </w:r>
      <w:r w:rsidRPr="00B75D43">
        <w:rPr>
          <w:rFonts w:cstheme="minorHAnsi"/>
          <w:color w:val="000000" w:themeColor="text1"/>
        </w:rPr>
        <w:t xml:space="preserve"> will be required by both the Notary and the lawyer engaged </w:t>
      </w:r>
      <w:proofErr w:type="gramStart"/>
      <w:r w:rsidRPr="00B75D43">
        <w:rPr>
          <w:rFonts w:cstheme="minorHAnsi"/>
          <w:color w:val="000000" w:themeColor="text1"/>
        </w:rPr>
        <w:t>with</w:t>
      </w:r>
      <w:proofErr w:type="gramEnd"/>
      <w:r w:rsidRPr="00B75D43">
        <w:rPr>
          <w:rFonts w:cstheme="minorHAnsi"/>
          <w:color w:val="000000" w:themeColor="text1"/>
        </w:rPr>
        <w:t xml:space="preserve"> the formation of the company. </w:t>
      </w:r>
    </w:p>
    <w:p w14:paraId="55F79678" w14:textId="77777777" w:rsidR="000048FE" w:rsidRDefault="000048FE" w:rsidP="000048FE">
      <w:pPr>
        <w:spacing w:line="240" w:lineRule="auto"/>
        <w:rPr>
          <w:rFonts w:cstheme="minorHAnsi"/>
          <w:color w:val="000000" w:themeColor="text1"/>
        </w:rPr>
      </w:pPr>
    </w:p>
    <w:p w14:paraId="01145784" w14:textId="77777777" w:rsidR="000048FE" w:rsidRDefault="000048FE" w:rsidP="000048FE">
      <w:pPr>
        <w:pStyle w:val="berschrift2"/>
      </w:pPr>
    </w:p>
    <w:p w14:paraId="2DA382D7" w14:textId="1E6C81AA" w:rsidR="000048FE" w:rsidRDefault="000048FE" w:rsidP="000048FE">
      <w:pPr>
        <w:pStyle w:val="berschrift2"/>
      </w:pPr>
      <w:r>
        <w:t>G</w:t>
      </w:r>
      <w:r w:rsidRPr="00B75D43">
        <w:t xml:space="preserve">overning bodies of a </w:t>
      </w:r>
      <w:r>
        <w:t>SL</w:t>
      </w:r>
      <w:r w:rsidRPr="00B75D43">
        <w:t xml:space="preserve"> </w:t>
      </w:r>
    </w:p>
    <w:p w14:paraId="34911EAD" w14:textId="77777777" w:rsidR="000048FE" w:rsidRDefault="000048FE" w:rsidP="000048FE">
      <w:pPr>
        <w:spacing w:line="240" w:lineRule="auto"/>
        <w:rPr>
          <w:rFonts w:cstheme="minorHAnsi"/>
          <w:color w:val="000000" w:themeColor="text1"/>
        </w:rPr>
      </w:pPr>
    </w:p>
    <w:p w14:paraId="2B2681DC" w14:textId="260FBE5F" w:rsidR="008C162C" w:rsidRDefault="00B75D43" w:rsidP="000048FE">
      <w:pPr>
        <w:spacing w:line="240" w:lineRule="auto"/>
        <w:rPr>
          <w:rFonts w:cstheme="minorHAnsi"/>
          <w:color w:val="000000" w:themeColor="text1"/>
        </w:rPr>
      </w:pPr>
      <w:r w:rsidRPr="00B75D43">
        <w:rPr>
          <w:rFonts w:cstheme="minorHAnsi"/>
          <w:color w:val="000000" w:themeColor="text1"/>
        </w:rPr>
        <w:t xml:space="preserve">The governing bodies of an SL are the Shareholders General Meeting (or the decisions of the sole shareholder, in the case of a single-shareholder company) and the </w:t>
      </w:r>
      <w:r w:rsidR="008C162C" w:rsidRPr="00B75D43">
        <w:rPr>
          <w:rFonts w:cstheme="minorHAnsi"/>
          <w:color w:val="000000" w:themeColor="text1"/>
        </w:rPr>
        <w:t>management</w:t>
      </w:r>
      <w:r w:rsidRPr="00B75D43">
        <w:rPr>
          <w:rFonts w:cstheme="minorHAnsi"/>
          <w:color w:val="000000" w:themeColor="text1"/>
        </w:rPr>
        <w:t xml:space="preserve"> body, which is entrusted with the management and representation of the company. The members of the management body do not necessarily have to be shareholders. </w:t>
      </w:r>
    </w:p>
    <w:p w14:paraId="55615F9B" w14:textId="77777777" w:rsidR="008C162C" w:rsidRDefault="008C162C" w:rsidP="000048FE">
      <w:pPr>
        <w:spacing w:line="240" w:lineRule="auto"/>
        <w:rPr>
          <w:rFonts w:cstheme="minorHAnsi"/>
          <w:color w:val="000000" w:themeColor="text1"/>
        </w:rPr>
      </w:pPr>
    </w:p>
    <w:p w14:paraId="3C33A1BD" w14:textId="77777777" w:rsidR="008C162C" w:rsidRDefault="00B75D43" w:rsidP="000048FE">
      <w:pPr>
        <w:spacing w:line="240" w:lineRule="auto"/>
        <w:rPr>
          <w:rFonts w:cstheme="minorHAnsi"/>
          <w:color w:val="000000" w:themeColor="text1"/>
        </w:rPr>
      </w:pPr>
      <w:r w:rsidRPr="00B75D43">
        <w:rPr>
          <w:rFonts w:cstheme="minorHAnsi"/>
          <w:color w:val="000000" w:themeColor="text1"/>
        </w:rPr>
        <w:t>The Shareholders General Meeting is the gathering of shareholders that decides, by the legally or statutorily established majority</w:t>
      </w:r>
      <w:proofErr w:type="gramStart"/>
      <w:r w:rsidRPr="00B75D43">
        <w:rPr>
          <w:rFonts w:cstheme="minorHAnsi"/>
          <w:color w:val="000000" w:themeColor="text1"/>
        </w:rPr>
        <w:t>, on</w:t>
      </w:r>
      <w:proofErr w:type="gramEnd"/>
      <w:r w:rsidRPr="00B75D43">
        <w:rPr>
          <w:rFonts w:cstheme="minorHAnsi"/>
          <w:color w:val="000000" w:themeColor="text1"/>
        </w:rPr>
        <w:t xml:space="preserve"> matters within its competence. The decisions made by this majority are considered </w:t>
      </w:r>
      <w:proofErr w:type="gramStart"/>
      <w:r w:rsidRPr="00B75D43">
        <w:rPr>
          <w:rFonts w:cstheme="minorHAnsi"/>
          <w:color w:val="000000" w:themeColor="text1"/>
        </w:rPr>
        <w:t>the collective</w:t>
      </w:r>
      <w:proofErr w:type="gramEnd"/>
      <w:r w:rsidRPr="00B75D43">
        <w:rPr>
          <w:rFonts w:cstheme="minorHAnsi"/>
          <w:color w:val="000000" w:themeColor="text1"/>
        </w:rPr>
        <w:t xml:space="preserve"> will. Under the legal framework, certain decisions </w:t>
      </w:r>
      <w:proofErr w:type="gramStart"/>
      <w:r w:rsidRPr="00B75D43">
        <w:rPr>
          <w:rFonts w:cstheme="minorHAnsi"/>
          <w:color w:val="000000" w:themeColor="text1"/>
        </w:rPr>
        <w:t>must necessarily</w:t>
      </w:r>
      <w:proofErr w:type="gramEnd"/>
      <w:r w:rsidRPr="00B75D43">
        <w:rPr>
          <w:rFonts w:cstheme="minorHAnsi"/>
          <w:color w:val="000000" w:themeColor="text1"/>
        </w:rPr>
        <w:t xml:space="preserve"> be made by the Shareholders General Meeting due to their significant implications for the company's existence. These include amendments to the company’s bylaws, structural modifications such as mergers, and the dissolution of the company. </w:t>
      </w:r>
    </w:p>
    <w:p w14:paraId="17A73DCE" w14:textId="77777777" w:rsidR="008C162C" w:rsidRDefault="008C162C" w:rsidP="000048FE">
      <w:pPr>
        <w:spacing w:line="240" w:lineRule="auto"/>
        <w:rPr>
          <w:rFonts w:cstheme="minorHAnsi"/>
          <w:color w:val="000000" w:themeColor="text1"/>
        </w:rPr>
      </w:pPr>
    </w:p>
    <w:p w14:paraId="7E2A66A8" w14:textId="4BBACDB4" w:rsidR="008C162C" w:rsidRDefault="00B75D43" w:rsidP="000048FE">
      <w:pPr>
        <w:spacing w:line="240" w:lineRule="auto"/>
        <w:rPr>
          <w:rFonts w:cstheme="minorHAnsi"/>
          <w:color w:val="000000" w:themeColor="text1"/>
        </w:rPr>
      </w:pPr>
      <w:r w:rsidRPr="00B75D43">
        <w:rPr>
          <w:rFonts w:cstheme="minorHAnsi"/>
          <w:color w:val="000000" w:themeColor="text1"/>
        </w:rPr>
        <w:t xml:space="preserve">On the other hand, the management body, in turn, is responsible for the management and representation of the company. It is composed of directors, who may or may not be shareholders and may even be legal entities. </w:t>
      </w:r>
      <w:proofErr w:type="gramStart"/>
      <w:r w:rsidRPr="00B75D43">
        <w:rPr>
          <w:rFonts w:cstheme="minorHAnsi"/>
          <w:color w:val="000000" w:themeColor="text1"/>
        </w:rPr>
        <w:t>As a general rule</w:t>
      </w:r>
      <w:proofErr w:type="gramEnd"/>
      <w:r w:rsidRPr="00B75D43">
        <w:rPr>
          <w:rFonts w:cstheme="minorHAnsi"/>
          <w:color w:val="000000" w:themeColor="text1"/>
        </w:rPr>
        <w:t xml:space="preserve">, the Shareholders General Meeting is responsible for appointing the directors. The law establishes a set of rules that define </w:t>
      </w:r>
      <w:r w:rsidR="00E64582">
        <w:rPr>
          <w:rFonts w:cstheme="minorHAnsi"/>
          <w:color w:val="000000" w:themeColor="text1"/>
        </w:rPr>
        <w:t>t</w:t>
      </w:r>
      <w:r w:rsidRPr="00B75D43">
        <w:rPr>
          <w:rFonts w:cstheme="minorHAnsi"/>
          <w:color w:val="000000" w:themeColor="text1"/>
        </w:rPr>
        <w:t xml:space="preserve">he legal framework of the directors, covering aspects such as eligibility and </w:t>
      </w:r>
      <w:r w:rsidRPr="00B75D43">
        <w:rPr>
          <w:rFonts w:cstheme="minorHAnsi"/>
          <w:color w:val="000000" w:themeColor="text1"/>
        </w:rPr>
        <w:lastRenderedPageBreak/>
        <w:t xml:space="preserve">appointment, term of office, remuneration, duties, liability, and removal. The functioning of the management body and the formation of the will of its directors depend on the structure chosen for the company's management body. The shareholders may provide for various alternative management bodies in the company’s bylaws, allowing the Shareholders General Meeting to select the most suitable management body. However, this is without prejudice to the choice made at the time of executing the incorporation deed of the company. </w:t>
      </w:r>
    </w:p>
    <w:p w14:paraId="15C7C62D" w14:textId="77777777" w:rsidR="008C162C" w:rsidRDefault="008C162C" w:rsidP="000048FE">
      <w:pPr>
        <w:spacing w:line="240" w:lineRule="auto"/>
        <w:rPr>
          <w:rFonts w:cstheme="minorHAnsi"/>
          <w:color w:val="000000" w:themeColor="text1"/>
        </w:rPr>
      </w:pPr>
    </w:p>
    <w:p w14:paraId="24DA1586" w14:textId="77777777" w:rsidR="008C162C" w:rsidRDefault="00B75D43" w:rsidP="000048FE">
      <w:pPr>
        <w:spacing w:line="240" w:lineRule="auto"/>
        <w:rPr>
          <w:rFonts w:cstheme="minorHAnsi"/>
          <w:color w:val="000000" w:themeColor="text1"/>
        </w:rPr>
      </w:pPr>
      <w:r w:rsidRPr="00B75D43">
        <w:rPr>
          <w:rFonts w:cstheme="minorHAnsi"/>
          <w:color w:val="000000" w:themeColor="text1"/>
        </w:rPr>
        <w:t xml:space="preserve">Accordingly, the management body may take one of the following forms: </w:t>
      </w:r>
    </w:p>
    <w:p w14:paraId="1B15C5A6" w14:textId="77777777" w:rsidR="00FD10C5" w:rsidRDefault="00FD10C5" w:rsidP="000048FE">
      <w:pPr>
        <w:spacing w:line="240" w:lineRule="auto"/>
        <w:rPr>
          <w:rFonts w:cstheme="minorHAnsi"/>
          <w:color w:val="000000" w:themeColor="text1"/>
        </w:rPr>
      </w:pPr>
    </w:p>
    <w:p w14:paraId="7E5AD18F" w14:textId="77777777" w:rsidR="008C162C" w:rsidRDefault="00B75D43" w:rsidP="00FD10C5">
      <w:pPr>
        <w:pStyle w:val="Listenabsatz"/>
        <w:numPr>
          <w:ilvl w:val="0"/>
          <w:numId w:val="9"/>
        </w:numPr>
        <w:spacing w:line="240" w:lineRule="auto"/>
        <w:rPr>
          <w:rFonts w:cstheme="minorHAnsi"/>
          <w:color w:val="000000" w:themeColor="text1"/>
        </w:rPr>
      </w:pPr>
      <w:r w:rsidRPr="00FD10C5">
        <w:rPr>
          <w:rFonts w:cstheme="minorHAnsi"/>
          <w:color w:val="000000" w:themeColor="text1"/>
        </w:rPr>
        <w:t xml:space="preserve">A sole </w:t>
      </w:r>
      <w:proofErr w:type="gramStart"/>
      <w:r w:rsidRPr="00FD10C5">
        <w:rPr>
          <w:rFonts w:cstheme="minorHAnsi"/>
          <w:color w:val="000000" w:themeColor="text1"/>
        </w:rPr>
        <w:t>director;</w:t>
      </w:r>
      <w:proofErr w:type="gramEnd"/>
      <w:r w:rsidRPr="00FD10C5">
        <w:rPr>
          <w:rFonts w:cstheme="minorHAnsi"/>
          <w:color w:val="000000" w:themeColor="text1"/>
        </w:rPr>
        <w:t xml:space="preserve"> </w:t>
      </w:r>
    </w:p>
    <w:p w14:paraId="6DB9B16C" w14:textId="77777777" w:rsidR="00FD10C5" w:rsidRPr="00FD10C5" w:rsidRDefault="00FD10C5" w:rsidP="00FD10C5">
      <w:pPr>
        <w:pStyle w:val="Listenabsatz"/>
        <w:spacing w:line="240" w:lineRule="auto"/>
        <w:ind w:left="1440"/>
        <w:rPr>
          <w:rFonts w:cstheme="minorHAnsi"/>
          <w:color w:val="000000" w:themeColor="text1"/>
        </w:rPr>
      </w:pPr>
    </w:p>
    <w:p w14:paraId="52D91441" w14:textId="77777777" w:rsidR="00FD10C5" w:rsidRDefault="00B75D43" w:rsidP="00FD10C5">
      <w:pPr>
        <w:pStyle w:val="Listenabsatz"/>
        <w:numPr>
          <w:ilvl w:val="0"/>
          <w:numId w:val="9"/>
        </w:numPr>
        <w:spacing w:line="240" w:lineRule="auto"/>
        <w:rPr>
          <w:rFonts w:cstheme="minorHAnsi"/>
          <w:color w:val="000000" w:themeColor="text1"/>
        </w:rPr>
      </w:pPr>
      <w:r w:rsidRPr="00FD10C5">
        <w:rPr>
          <w:rFonts w:cstheme="minorHAnsi"/>
          <w:color w:val="000000" w:themeColor="text1"/>
        </w:rPr>
        <w:t xml:space="preserve">Two or more </w:t>
      </w:r>
      <w:proofErr w:type="gramStart"/>
      <w:r w:rsidRPr="00FD10C5">
        <w:rPr>
          <w:rFonts w:cstheme="minorHAnsi"/>
          <w:color w:val="000000" w:themeColor="text1"/>
        </w:rPr>
        <w:t>joint</w:t>
      </w:r>
      <w:proofErr w:type="gramEnd"/>
      <w:r w:rsidRPr="00FD10C5">
        <w:rPr>
          <w:rFonts w:cstheme="minorHAnsi"/>
          <w:color w:val="000000" w:themeColor="text1"/>
        </w:rPr>
        <w:t xml:space="preserve"> and several directors, each with individual decision-making </w:t>
      </w:r>
      <w:proofErr w:type="gramStart"/>
      <w:r w:rsidRPr="00FD10C5">
        <w:rPr>
          <w:rFonts w:cstheme="minorHAnsi"/>
          <w:color w:val="000000" w:themeColor="text1"/>
        </w:rPr>
        <w:t>authority;</w:t>
      </w:r>
      <w:proofErr w:type="gramEnd"/>
      <w:r w:rsidRPr="00FD10C5">
        <w:rPr>
          <w:rFonts w:cstheme="minorHAnsi"/>
          <w:color w:val="000000" w:themeColor="text1"/>
        </w:rPr>
        <w:t xml:space="preserve"> </w:t>
      </w:r>
    </w:p>
    <w:p w14:paraId="150E3EC0" w14:textId="77777777" w:rsidR="00FD10C5" w:rsidRPr="00FD10C5" w:rsidRDefault="00FD10C5" w:rsidP="00FD10C5">
      <w:pPr>
        <w:spacing w:line="240" w:lineRule="auto"/>
        <w:ind w:left="0"/>
        <w:rPr>
          <w:rFonts w:cstheme="minorHAnsi"/>
          <w:color w:val="000000" w:themeColor="text1"/>
        </w:rPr>
      </w:pPr>
    </w:p>
    <w:p w14:paraId="16C94202" w14:textId="77777777" w:rsidR="00FD10C5" w:rsidRDefault="00B75D43" w:rsidP="00FD10C5">
      <w:pPr>
        <w:pStyle w:val="Listenabsatz"/>
        <w:numPr>
          <w:ilvl w:val="0"/>
          <w:numId w:val="9"/>
        </w:numPr>
        <w:spacing w:line="240" w:lineRule="auto"/>
        <w:rPr>
          <w:rFonts w:cstheme="minorHAnsi"/>
          <w:color w:val="000000" w:themeColor="text1"/>
        </w:rPr>
      </w:pPr>
      <w:r w:rsidRPr="00FD10C5">
        <w:rPr>
          <w:rFonts w:cstheme="minorHAnsi"/>
          <w:color w:val="000000" w:themeColor="text1"/>
        </w:rPr>
        <w:t xml:space="preserve">Two or more jointly acting directors, requiring collective decision-making; or </w:t>
      </w:r>
    </w:p>
    <w:p w14:paraId="2AFDA582" w14:textId="77777777" w:rsidR="00FD10C5" w:rsidRPr="00FD10C5" w:rsidRDefault="00FD10C5" w:rsidP="00FD10C5">
      <w:pPr>
        <w:spacing w:line="240" w:lineRule="auto"/>
        <w:ind w:left="0"/>
        <w:rPr>
          <w:rFonts w:cstheme="minorHAnsi"/>
          <w:color w:val="000000" w:themeColor="text1"/>
        </w:rPr>
      </w:pPr>
    </w:p>
    <w:p w14:paraId="1701F23E" w14:textId="77777777" w:rsidR="00FD10C5" w:rsidRPr="00FD10C5" w:rsidRDefault="00B75D43" w:rsidP="00FD10C5">
      <w:pPr>
        <w:pStyle w:val="Listenabsatz"/>
        <w:numPr>
          <w:ilvl w:val="0"/>
          <w:numId w:val="9"/>
        </w:numPr>
        <w:spacing w:line="240" w:lineRule="auto"/>
        <w:rPr>
          <w:rFonts w:cstheme="minorHAnsi"/>
          <w:color w:val="000000" w:themeColor="text1"/>
        </w:rPr>
      </w:pPr>
      <w:r w:rsidRPr="00FD10C5">
        <w:rPr>
          <w:rFonts w:cstheme="minorHAnsi"/>
          <w:color w:val="000000" w:themeColor="text1"/>
        </w:rPr>
        <w:t xml:space="preserve">A Board of Directors composed of at least three members and a maximum of twelve members. </w:t>
      </w:r>
    </w:p>
    <w:p w14:paraId="46985B06" w14:textId="77777777" w:rsidR="00FD10C5" w:rsidRDefault="00FD10C5" w:rsidP="000048FE">
      <w:pPr>
        <w:spacing w:line="240" w:lineRule="auto"/>
        <w:rPr>
          <w:rFonts w:cstheme="minorHAnsi"/>
          <w:color w:val="000000" w:themeColor="text1"/>
        </w:rPr>
      </w:pPr>
    </w:p>
    <w:p w14:paraId="0AF1B45F" w14:textId="77777777" w:rsidR="00FD10C5" w:rsidRDefault="00FD10C5" w:rsidP="000048FE">
      <w:pPr>
        <w:spacing w:line="240" w:lineRule="auto"/>
        <w:rPr>
          <w:rFonts w:cstheme="minorHAnsi"/>
          <w:color w:val="000000" w:themeColor="text1"/>
        </w:rPr>
      </w:pPr>
    </w:p>
    <w:p w14:paraId="33D696C9" w14:textId="616A0E60" w:rsidR="00FD10C5" w:rsidRDefault="00FD10C5" w:rsidP="00FD10C5">
      <w:pPr>
        <w:pStyle w:val="berschrift2"/>
      </w:pPr>
      <w:r>
        <w:t>S</w:t>
      </w:r>
      <w:r w:rsidRPr="00B75D43">
        <w:t xml:space="preserve">hare capital </w:t>
      </w:r>
    </w:p>
    <w:p w14:paraId="64860B15" w14:textId="77777777" w:rsidR="00FD10C5" w:rsidRDefault="00FD10C5" w:rsidP="000048FE">
      <w:pPr>
        <w:spacing w:line="240" w:lineRule="auto"/>
        <w:rPr>
          <w:rFonts w:cstheme="minorHAnsi"/>
          <w:color w:val="000000" w:themeColor="text1"/>
        </w:rPr>
      </w:pPr>
    </w:p>
    <w:p w14:paraId="3D028073" w14:textId="77777777" w:rsidR="00FD10C5" w:rsidRDefault="00B75D43" w:rsidP="000048FE">
      <w:pPr>
        <w:spacing w:line="240" w:lineRule="auto"/>
        <w:rPr>
          <w:rFonts w:cstheme="minorHAnsi"/>
          <w:color w:val="000000" w:themeColor="text1"/>
        </w:rPr>
      </w:pPr>
      <w:r w:rsidRPr="00B75D43">
        <w:rPr>
          <w:rFonts w:cstheme="minorHAnsi"/>
          <w:color w:val="000000" w:themeColor="text1"/>
        </w:rPr>
        <w:t>The share capital is divided into indivisible, non-negotiable equity shares (</w:t>
      </w:r>
      <w:proofErr w:type="spellStart"/>
      <w:r w:rsidRPr="00B906CA">
        <w:rPr>
          <w:rFonts w:cstheme="minorHAnsi"/>
          <w:i/>
          <w:iCs/>
          <w:color w:val="000000" w:themeColor="text1"/>
        </w:rPr>
        <w:t>participaciones</w:t>
      </w:r>
      <w:proofErr w:type="spellEnd"/>
      <w:r w:rsidRPr="00B906CA">
        <w:rPr>
          <w:rFonts w:cstheme="minorHAnsi"/>
          <w:i/>
          <w:iCs/>
          <w:color w:val="000000" w:themeColor="text1"/>
        </w:rPr>
        <w:t xml:space="preserve"> </w:t>
      </w:r>
      <w:proofErr w:type="spellStart"/>
      <w:r w:rsidRPr="00B906CA">
        <w:rPr>
          <w:rFonts w:cstheme="minorHAnsi"/>
          <w:i/>
          <w:iCs/>
          <w:color w:val="000000" w:themeColor="text1"/>
        </w:rPr>
        <w:t>sociales</w:t>
      </w:r>
      <w:proofErr w:type="spellEnd"/>
      <w:r w:rsidRPr="00B75D43">
        <w:rPr>
          <w:rFonts w:cstheme="minorHAnsi"/>
          <w:color w:val="000000" w:themeColor="text1"/>
        </w:rPr>
        <w:t xml:space="preserve">) and according to the Spanish Companies’ Law, the amount of the share capital may not be less than 1 €. However, </w:t>
      </w:r>
      <w:proofErr w:type="gramStart"/>
      <w:r w:rsidRPr="00B75D43">
        <w:rPr>
          <w:rFonts w:cstheme="minorHAnsi"/>
          <w:color w:val="000000" w:themeColor="text1"/>
        </w:rPr>
        <w:t>as long as</w:t>
      </w:r>
      <w:proofErr w:type="gramEnd"/>
      <w:r w:rsidRPr="00B75D43">
        <w:rPr>
          <w:rFonts w:cstheme="minorHAnsi"/>
          <w:color w:val="000000" w:themeColor="text1"/>
        </w:rPr>
        <w:t xml:space="preserve"> the capital of an SL does not reach the amount of 3,000.00 €, the following rules shall apply: </w:t>
      </w:r>
    </w:p>
    <w:p w14:paraId="78E928B2" w14:textId="77777777" w:rsidR="00FD10C5" w:rsidRDefault="00FD10C5" w:rsidP="000048FE">
      <w:pPr>
        <w:spacing w:line="240" w:lineRule="auto"/>
        <w:rPr>
          <w:rFonts w:cstheme="minorHAnsi"/>
          <w:color w:val="000000" w:themeColor="text1"/>
        </w:rPr>
      </w:pPr>
    </w:p>
    <w:p w14:paraId="4B49F83D" w14:textId="77777777" w:rsidR="00FD10C5" w:rsidRDefault="00B75D43" w:rsidP="00FD10C5">
      <w:pPr>
        <w:pStyle w:val="Listenabsatz"/>
        <w:numPr>
          <w:ilvl w:val="0"/>
          <w:numId w:val="10"/>
        </w:numPr>
        <w:spacing w:line="240" w:lineRule="auto"/>
        <w:rPr>
          <w:rFonts w:cstheme="minorHAnsi"/>
          <w:color w:val="000000" w:themeColor="text1"/>
        </w:rPr>
      </w:pPr>
      <w:r w:rsidRPr="00FD10C5">
        <w:rPr>
          <w:rFonts w:cstheme="minorHAnsi"/>
          <w:color w:val="000000" w:themeColor="text1"/>
        </w:rPr>
        <w:t xml:space="preserve">At least twenty percent of the company's profits shall be allocated to the legal reserve until such reserve, together with the share capital, reaches the amount of 3,000.00 €. </w:t>
      </w:r>
    </w:p>
    <w:p w14:paraId="46429484" w14:textId="77777777" w:rsidR="00FD10C5" w:rsidRDefault="00FD10C5" w:rsidP="00FD10C5">
      <w:pPr>
        <w:pStyle w:val="Listenabsatz"/>
        <w:spacing w:line="240" w:lineRule="auto"/>
        <w:ind w:left="1440"/>
        <w:rPr>
          <w:rFonts w:cstheme="minorHAnsi"/>
          <w:color w:val="000000" w:themeColor="text1"/>
        </w:rPr>
      </w:pPr>
    </w:p>
    <w:p w14:paraId="4F0E8042" w14:textId="77777777" w:rsidR="00FD10C5" w:rsidRDefault="00B75D43" w:rsidP="00FD10C5">
      <w:pPr>
        <w:pStyle w:val="Listenabsatz"/>
        <w:numPr>
          <w:ilvl w:val="0"/>
          <w:numId w:val="10"/>
        </w:numPr>
        <w:spacing w:line="240" w:lineRule="auto"/>
        <w:rPr>
          <w:rFonts w:cstheme="minorHAnsi"/>
          <w:color w:val="000000" w:themeColor="text1"/>
        </w:rPr>
      </w:pPr>
      <w:r w:rsidRPr="00FD10C5">
        <w:rPr>
          <w:rFonts w:cstheme="minorHAnsi"/>
          <w:color w:val="000000" w:themeColor="text1"/>
        </w:rPr>
        <w:t xml:space="preserve">In the event of liquidation, whether voluntary or compulsory, if the company's assets are insufficient to cover its social obligations, the shareholders shall be jointly and severally liable for the shortfall between the amount of 3,000.00 € and the subscribed share capital. </w:t>
      </w:r>
    </w:p>
    <w:p w14:paraId="68CF7FD0" w14:textId="77777777" w:rsidR="00FD10C5" w:rsidRPr="00FD10C5" w:rsidRDefault="00FD10C5" w:rsidP="00FD10C5">
      <w:pPr>
        <w:spacing w:line="240" w:lineRule="auto"/>
        <w:ind w:left="0"/>
        <w:rPr>
          <w:rFonts w:cstheme="minorHAnsi"/>
          <w:color w:val="000000" w:themeColor="text1"/>
        </w:rPr>
      </w:pPr>
    </w:p>
    <w:p w14:paraId="3FCFCC6A" w14:textId="77777777" w:rsidR="00FD10C5" w:rsidRPr="00FD10C5" w:rsidRDefault="00FD10C5" w:rsidP="00FD10C5">
      <w:pPr>
        <w:pStyle w:val="berschrift2"/>
      </w:pPr>
    </w:p>
    <w:p w14:paraId="32B48D06" w14:textId="0DF1379F" w:rsidR="00FD10C5" w:rsidRDefault="00FD10C5" w:rsidP="00FD10C5">
      <w:pPr>
        <w:pStyle w:val="berschrift2"/>
      </w:pPr>
      <w:r>
        <w:t>T</w:t>
      </w:r>
      <w:r w:rsidRPr="00FD10C5">
        <w:t>ax registration</w:t>
      </w:r>
    </w:p>
    <w:p w14:paraId="456B68E4" w14:textId="77777777" w:rsidR="00FD10C5" w:rsidRDefault="00FD10C5" w:rsidP="00FD10C5">
      <w:pPr>
        <w:spacing w:line="240" w:lineRule="auto"/>
        <w:rPr>
          <w:rFonts w:cstheme="minorHAnsi"/>
          <w:color w:val="000000" w:themeColor="text1"/>
        </w:rPr>
      </w:pPr>
    </w:p>
    <w:p w14:paraId="2C2987B9" w14:textId="77777777" w:rsidR="00FD10C5" w:rsidRDefault="00B75D43" w:rsidP="00FD10C5">
      <w:pPr>
        <w:spacing w:line="240" w:lineRule="auto"/>
        <w:rPr>
          <w:rFonts w:cstheme="minorHAnsi"/>
          <w:color w:val="000000" w:themeColor="text1"/>
        </w:rPr>
      </w:pPr>
      <w:r w:rsidRPr="00FD10C5">
        <w:rPr>
          <w:rFonts w:cstheme="minorHAnsi"/>
          <w:color w:val="000000" w:themeColor="text1"/>
        </w:rPr>
        <w:t xml:space="preserve">New companies </w:t>
      </w:r>
      <w:proofErr w:type="gramStart"/>
      <w:r w:rsidRPr="00FD10C5">
        <w:rPr>
          <w:rFonts w:cstheme="minorHAnsi"/>
          <w:color w:val="000000" w:themeColor="text1"/>
        </w:rPr>
        <w:t>have to</w:t>
      </w:r>
      <w:proofErr w:type="gramEnd"/>
      <w:r w:rsidRPr="00FD10C5">
        <w:rPr>
          <w:rFonts w:cstheme="minorHAnsi"/>
          <w:color w:val="000000" w:themeColor="text1"/>
        </w:rPr>
        <w:t xml:space="preserve"> apply for a tax identification number (NIF) from Tax Authorities. In addition, newly founded companies willing to start its business activity in Spain must also file a formal statement (</w:t>
      </w:r>
      <w:proofErr w:type="spellStart"/>
      <w:r w:rsidRPr="00B906CA">
        <w:rPr>
          <w:rFonts w:cstheme="minorHAnsi"/>
          <w:i/>
          <w:iCs/>
          <w:color w:val="000000" w:themeColor="text1"/>
        </w:rPr>
        <w:t>Declaración</w:t>
      </w:r>
      <w:proofErr w:type="spellEnd"/>
      <w:r w:rsidRPr="00B906CA">
        <w:rPr>
          <w:rFonts w:cstheme="minorHAnsi"/>
          <w:i/>
          <w:iCs/>
          <w:color w:val="000000" w:themeColor="text1"/>
        </w:rPr>
        <w:t xml:space="preserve"> </w:t>
      </w:r>
      <w:proofErr w:type="spellStart"/>
      <w:r w:rsidRPr="00B906CA">
        <w:rPr>
          <w:rFonts w:cstheme="minorHAnsi"/>
          <w:i/>
          <w:iCs/>
          <w:color w:val="000000" w:themeColor="text1"/>
        </w:rPr>
        <w:t>Censal</w:t>
      </w:r>
      <w:proofErr w:type="spellEnd"/>
      <w:r w:rsidRPr="00B906CA">
        <w:rPr>
          <w:rFonts w:cstheme="minorHAnsi"/>
          <w:i/>
          <w:iCs/>
          <w:color w:val="000000" w:themeColor="text1"/>
        </w:rPr>
        <w:t xml:space="preserve"> de </w:t>
      </w:r>
      <w:proofErr w:type="spellStart"/>
      <w:r w:rsidRPr="00B906CA">
        <w:rPr>
          <w:rFonts w:cstheme="minorHAnsi"/>
          <w:i/>
          <w:iCs/>
          <w:color w:val="000000" w:themeColor="text1"/>
        </w:rPr>
        <w:t>Inicio</w:t>
      </w:r>
      <w:proofErr w:type="spellEnd"/>
      <w:r w:rsidRPr="00B906CA">
        <w:rPr>
          <w:rFonts w:cstheme="minorHAnsi"/>
          <w:i/>
          <w:iCs/>
          <w:color w:val="000000" w:themeColor="text1"/>
        </w:rPr>
        <w:t xml:space="preserve"> de </w:t>
      </w:r>
      <w:proofErr w:type="spellStart"/>
      <w:r w:rsidRPr="00B906CA">
        <w:rPr>
          <w:rFonts w:cstheme="minorHAnsi"/>
          <w:i/>
          <w:iCs/>
          <w:color w:val="000000" w:themeColor="text1"/>
        </w:rPr>
        <w:t>Actividad</w:t>
      </w:r>
      <w:proofErr w:type="spellEnd"/>
      <w:r w:rsidRPr="00FD10C5">
        <w:rPr>
          <w:rFonts w:cstheme="minorHAnsi"/>
          <w:color w:val="000000" w:themeColor="text1"/>
        </w:rPr>
        <w:t>) with the local Tax Office (</w:t>
      </w:r>
      <w:proofErr w:type="spellStart"/>
      <w:r w:rsidRPr="00B906CA">
        <w:rPr>
          <w:rFonts w:cstheme="minorHAnsi"/>
          <w:i/>
          <w:iCs/>
          <w:color w:val="000000" w:themeColor="text1"/>
        </w:rPr>
        <w:t>Delegación</w:t>
      </w:r>
      <w:proofErr w:type="spellEnd"/>
      <w:r w:rsidRPr="00B906CA">
        <w:rPr>
          <w:rFonts w:cstheme="minorHAnsi"/>
          <w:i/>
          <w:iCs/>
          <w:color w:val="000000" w:themeColor="text1"/>
        </w:rPr>
        <w:t xml:space="preserve"> de Hacienda</w:t>
      </w:r>
      <w:r w:rsidRPr="00FD10C5">
        <w:rPr>
          <w:rFonts w:cstheme="minorHAnsi"/>
          <w:color w:val="000000" w:themeColor="text1"/>
        </w:rPr>
        <w:t xml:space="preserve">). </w:t>
      </w:r>
    </w:p>
    <w:p w14:paraId="08E1D234" w14:textId="77777777" w:rsidR="00FD10C5" w:rsidRDefault="00FD10C5" w:rsidP="00FD10C5">
      <w:pPr>
        <w:spacing w:line="240" w:lineRule="auto"/>
        <w:rPr>
          <w:rFonts w:cstheme="minorHAnsi"/>
          <w:color w:val="000000" w:themeColor="text1"/>
        </w:rPr>
      </w:pPr>
    </w:p>
    <w:p w14:paraId="5793E3B3" w14:textId="77777777" w:rsidR="00FD10C5" w:rsidRDefault="00FD10C5" w:rsidP="00FD10C5">
      <w:pPr>
        <w:spacing w:line="240" w:lineRule="auto"/>
        <w:rPr>
          <w:rFonts w:cstheme="minorHAnsi"/>
          <w:color w:val="000000" w:themeColor="text1"/>
        </w:rPr>
      </w:pPr>
    </w:p>
    <w:p w14:paraId="329B93DA" w14:textId="77777777" w:rsidR="00E64582" w:rsidRDefault="00E64582" w:rsidP="00FD10C5">
      <w:pPr>
        <w:spacing w:line="240" w:lineRule="auto"/>
        <w:rPr>
          <w:rFonts w:cstheme="minorHAnsi"/>
          <w:color w:val="000000" w:themeColor="text1"/>
        </w:rPr>
      </w:pPr>
    </w:p>
    <w:p w14:paraId="7C9C19A2" w14:textId="77777777" w:rsidR="00E64582" w:rsidRDefault="00E64582" w:rsidP="00FD10C5">
      <w:pPr>
        <w:spacing w:line="240" w:lineRule="auto"/>
        <w:rPr>
          <w:rFonts w:cstheme="minorHAnsi"/>
          <w:color w:val="000000" w:themeColor="text1"/>
        </w:rPr>
      </w:pPr>
    </w:p>
    <w:p w14:paraId="4DF7A854" w14:textId="79684D49" w:rsidR="00FD10C5" w:rsidRDefault="00FD10C5" w:rsidP="00FD10C5">
      <w:pPr>
        <w:pStyle w:val="berschrift2"/>
      </w:pPr>
      <w:r>
        <w:lastRenderedPageBreak/>
        <w:t>B</w:t>
      </w:r>
      <w:r w:rsidRPr="00FD10C5">
        <w:t xml:space="preserve">ank account </w:t>
      </w:r>
    </w:p>
    <w:p w14:paraId="2292544A" w14:textId="77777777" w:rsidR="00FD10C5" w:rsidRDefault="00FD10C5" w:rsidP="00FD10C5">
      <w:pPr>
        <w:spacing w:line="240" w:lineRule="auto"/>
        <w:rPr>
          <w:rFonts w:cstheme="minorHAnsi"/>
          <w:color w:val="000000" w:themeColor="text1"/>
        </w:rPr>
      </w:pPr>
    </w:p>
    <w:p w14:paraId="7BADCCD9" w14:textId="77777777" w:rsidR="00FD10C5" w:rsidRDefault="00B75D43" w:rsidP="00FD10C5">
      <w:pPr>
        <w:spacing w:line="240" w:lineRule="auto"/>
        <w:rPr>
          <w:rFonts w:cstheme="minorHAnsi"/>
          <w:color w:val="000000" w:themeColor="text1"/>
        </w:rPr>
      </w:pPr>
      <w:r w:rsidRPr="00FD10C5">
        <w:rPr>
          <w:rFonts w:cstheme="minorHAnsi"/>
          <w:color w:val="000000" w:themeColor="text1"/>
        </w:rPr>
        <w:t>Although not legally binding, it is strongly recommended that the shareholders open a bank account in the name of the future company (</w:t>
      </w:r>
      <w:proofErr w:type="spellStart"/>
      <w:r w:rsidRPr="00B906CA">
        <w:rPr>
          <w:rFonts w:cstheme="minorHAnsi"/>
          <w:i/>
          <w:iCs/>
          <w:color w:val="000000" w:themeColor="text1"/>
        </w:rPr>
        <w:t>en</w:t>
      </w:r>
      <w:proofErr w:type="spellEnd"/>
      <w:r w:rsidRPr="00B906CA">
        <w:rPr>
          <w:rFonts w:cstheme="minorHAnsi"/>
          <w:i/>
          <w:iCs/>
          <w:color w:val="000000" w:themeColor="text1"/>
        </w:rPr>
        <w:t xml:space="preserve"> </w:t>
      </w:r>
      <w:proofErr w:type="spellStart"/>
      <w:r w:rsidRPr="00B906CA">
        <w:rPr>
          <w:rFonts w:cstheme="minorHAnsi"/>
          <w:i/>
          <w:iCs/>
          <w:color w:val="000000" w:themeColor="text1"/>
        </w:rPr>
        <w:t>constitución</w:t>
      </w:r>
      <w:proofErr w:type="spellEnd"/>
      <w:r w:rsidRPr="00FD10C5">
        <w:rPr>
          <w:rFonts w:cstheme="minorHAnsi"/>
          <w:color w:val="000000" w:themeColor="text1"/>
        </w:rPr>
        <w:t>) and deposit the share capital prior to the execution of the deed of incorporation. This is the most common procedure followed when founding an SL</w:t>
      </w:r>
      <w:r w:rsidR="00FD10C5">
        <w:rPr>
          <w:rStyle w:val="Funotenzeichen"/>
          <w:rFonts w:cstheme="minorHAnsi"/>
          <w:color w:val="000000" w:themeColor="text1"/>
        </w:rPr>
        <w:footnoteReference w:id="4"/>
      </w:r>
      <w:r w:rsidR="00FD10C5">
        <w:rPr>
          <w:rFonts w:cstheme="minorHAnsi"/>
          <w:color w:val="000000" w:themeColor="text1"/>
        </w:rPr>
        <w:t xml:space="preserve">. </w:t>
      </w:r>
      <w:r w:rsidRPr="00FD10C5">
        <w:rPr>
          <w:rFonts w:cstheme="minorHAnsi"/>
          <w:color w:val="000000" w:themeColor="text1"/>
        </w:rPr>
        <w:t xml:space="preserve">Nevertheless, contributions in kind are permitted in a SL with no need of a third party’s valuation. </w:t>
      </w:r>
    </w:p>
    <w:p w14:paraId="5952113B" w14:textId="123AFAA2" w:rsidR="00FD10C5" w:rsidRDefault="00B75D43" w:rsidP="00FD10C5">
      <w:pPr>
        <w:spacing w:line="240" w:lineRule="auto"/>
        <w:rPr>
          <w:rFonts w:cstheme="minorHAnsi"/>
          <w:color w:val="000000" w:themeColor="text1"/>
        </w:rPr>
      </w:pPr>
      <w:r w:rsidRPr="00FD10C5">
        <w:rPr>
          <w:rFonts w:cstheme="minorHAnsi"/>
          <w:color w:val="000000" w:themeColor="text1"/>
        </w:rPr>
        <w:t>A director of the company may also open a bank account once the new company is registered at the Companies Registry.</w:t>
      </w:r>
    </w:p>
    <w:p w14:paraId="12B0A44B" w14:textId="77777777" w:rsidR="00FD10C5" w:rsidRDefault="00FD10C5" w:rsidP="00FD10C5">
      <w:pPr>
        <w:spacing w:line="240" w:lineRule="auto"/>
        <w:rPr>
          <w:rFonts w:cstheme="minorHAnsi"/>
          <w:color w:val="000000" w:themeColor="text1"/>
        </w:rPr>
      </w:pPr>
    </w:p>
    <w:p w14:paraId="21F61DB9" w14:textId="77777777" w:rsidR="00FD10C5" w:rsidRDefault="00FD10C5" w:rsidP="00FD10C5">
      <w:pPr>
        <w:spacing w:line="240" w:lineRule="auto"/>
        <w:rPr>
          <w:rFonts w:cstheme="minorHAnsi"/>
          <w:color w:val="000000" w:themeColor="text1"/>
        </w:rPr>
      </w:pPr>
    </w:p>
    <w:p w14:paraId="7261FD53" w14:textId="70927797" w:rsidR="00FD10C5" w:rsidRDefault="00FD10C5" w:rsidP="00FD10C5">
      <w:pPr>
        <w:pStyle w:val="berschrift2"/>
      </w:pPr>
      <w:r>
        <w:t>A</w:t>
      </w:r>
      <w:r w:rsidRPr="00FD10C5">
        <w:t xml:space="preserve">ccounts and records </w:t>
      </w:r>
    </w:p>
    <w:p w14:paraId="4045DFD0" w14:textId="77777777" w:rsidR="00FD10C5" w:rsidRDefault="00FD10C5" w:rsidP="00FD10C5">
      <w:pPr>
        <w:spacing w:line="240" w:lineRule="auto"/>
        <w:rPr>
          <w:rFonts w:cstheme="minorHAnsi"/>
          <w:color w:val="000000" w:themeColor="text1"/>
        </w:rPr>
      </w:pPr>
    </w:p>
    <w:p w14:paraId="2B30A704" w14:textId="77777777" w:rsidR="00FD10C5" w:rsidRDefault="00B75D43" w:rsidP="00FD10C5">
      <w:pPr>
        <w:spacing w:line="240" w:lineRule="auto"/>
        <w:rPr>
          <w:rFonts w:cstheme="minorHAnsi"/>
          <w:color w:val="000000" w:themeColor="text1"/>
        </w:rPr>
      </w:pPr>
      <w:r w:rsidRPr="00FD10C5">
        <w:rPr>
          <w:rFonts w:cstheme="minorHAnsi"/>
          <w:color w:val="000000" w:themeColor="text1"/>
        </w:rPr>
        <w:t xml:space="preserve">At the end of each accounting year, a SL is obliged to draft year-end reports, profit and loss accounts, balance sheet and a list of assets as at the date of reference </w:t>
      </w:r>
      <w:proofErr w:type="gramStart"/>
      <w:r w:rsidRPr="00FD10C5">
        <w:rPr>
          <w:rFonts w:cstheme="minorHAnsi"/>
          <w:color w:val="000000" w:themeColor="text1"/>
        </w:rPr>
        <w:t>and also</w:t>
      </w:r>
      <w:proofErr w:type="gramEnd"/>
      <w:r w:rsidRPr="00FD10C5">
        <w:rPr>
          <w:rFonts w:cstheme="minorHAnsi"/>
          <w:color w:val="000000" w:themeColor="text1"/>
        </w:rPr>
        <w:t xml:space="preserve"> draft a report on the status </w:t>
      </w:r>
      <w:proofErr w:type="gramStart"/>
      <w:r w:rsidRPr="00FD10C5">
        <w:rPr>
          <w:rFonts w:cstheme="minorHAnsi"/>
          <w:color w:val="000000" w:themeColor="text1"/>
        </w:rPr>
        <w:t>for</w:t>
      </w:r>
      <w:proofErr w:type="gramEnd"/>
      <w:r w:rsidRPr="00FD10C5">
        <w:rPr>
          <w:rFonts w:cstheme="minorHAnsi"/>
          <w:color w:val="000000" w:themeColor="text1"/>
        </w:rPr>
        <w:t xml:space="preserve"> the company (</w:t>
      </w:r>
      <w:r w:rsidRPr="00B906CA">
        <w:rPr>
          <w:rFonts w:cstheme="minorHAnsi"/>
          <w:i/>
          <w:iCs/>
          <w:color w:val="000000" w:themeColor="text1"/>
        </w:rPr>
        <w:t xml:space="preserve">Cuentas </w:t>
      </w:r>
      <w:proofErr w:type="spellStart"/>
      <w:r w:rsidRPr="00B906CA">
        <w:rPr>
          <w:rFonts w:cstheme="minorHAnsi"/>
          <w:i/>
          <w:iCs/>
          <w:color w:val="000000" w:themeColor="text1"/>
        </w:rPr>
        <w:t>Anuales</w:t>
      </w:r>
      <w:proofErr w:type="spellEnd"/>
      <w:r w:rsidRPr="00FD10C5">
        <w:rPr>
          <w:rFonts w:cstheme="minorHAnsi"/>
          <w:color w:val="000000" w:themeColor="text1"/>
        </w:rPr>
        <w:t xml:space="preserve">). The accounting and </w:t>
      </w:r>
      <w:proofErr w:type="spellStart"/>
      <w:r w:rsidRPr="00FD10C5">
        <w:rPr>
          <w:rFonts w:cstheme="minorHAnsi"/>
          <w:color w:val="000000" w:themeColor="text1"/>
        </w:rPr>
        <w:t>year end</w:t>
      </w:r>
      <w:proofErr w:type="spellEnd"/>
      <w:r w:rsidRPr="00FD10C5">
        <w:rPr>
          <w:rFonts w:cstheme="minorHAnsi"/>
          <w:color w:val="000000" w:themeColor="text1"/>
        </w:rPr>
        <w:t xml:space="preserve"> report has to be drafted in accordance </w:t>
      </w:r>
      <w:proofErr w:type="gramStart"/>
      <w:r w:rsidRPr="00FD10C5">
        <w:rPr>
          <w:rFonts w:cstheme="minorHAnsi"/>
          <w:color w:val="000000" w:themeColor="text1"/>
        </w:rPr>
        <w:t>to</w:t>
      </w:r>
      <w:proofErr w:type="gramEnd"/>
      <w:r w:rsidRPr="00FD10C5">
        <w:rPr>
          <w:rFonts w:cstheme="minorHAnsi"/>
          <w:color w:val="000000" w:themeColor="text1"/>
        </w:rPr>
        <w:t xml:space="preserve"> the Spanish accounting rules (</w:t>
      </w:r>
      <w:r w:rsidRPr="00B906CA">
        <w:rPr>
          <w:rFonts w:cstheme="minorHAnsi"/>
          <w:i/>
          <w:iCs/>
          <w:color w:val="000000" w:themeColor="text1"/>
        </w:rPr>
        <w:t xml:space="preserve">Plan General </w:t>
      </w:r>
      <w:proofErr w:type="spellStart"/>
      <w:r w:rsidRPr="00B906CA">
        <w:rPr>
          <w:rFonts w:cstheme="minorHAnsi"/>
          <w:i/>
          <w:iCs/>
          <w:color w:val="000000" w:themeColor="text1"/>
        </w:rPr>
        <w:t>Contable</w:t>
      </w:r>
      <w:proofErr w:type="spellEnd"/>
      <w:r w:rsidRPr="00FD10C5">
        <w:rPr>
          <w:rFonts w:cstheme="minorHAnsi"/>
          <w:color w:val="000000" w:themeColor="text1"/>
        </w:rPr>
        <w:t xml:space="preserve"> or </w:t>
      </w:r>
      <w:r w:rsidRPr="00B906CA">
        <w:rPr>
          <w:rFonts w:cstheme="minorHAnsi"/>
          <w:i/>
          <w:iCs/>
          <w:color w:val="000000" w:themeColor="text1"/>
        </w:rPr>
        <w:t>PGC</w:t>
      </w:r>
      <w:r w:rsidRPr="00FD10C5">
        <w:rPr>
          <w:rFonts w:cstheme="minorHAnsi"/>
          <w:color w:val="000000" w:themeColor="text1"/>
        </w:rPr>
        <w:t xml:space="preserve">) and filed with the Companies Registry. The above obligations </w:t>
      </w:r>
      <w:proofErr w:type="gramStart"/>
      <w:r w:rsidRPr="00FD10C5">
        <w:rPr>
          <w:rFonts w:cstheme="minorHAnsi"/>
          <w:color w:val="000000" w:themeColor="text1"/>
        </w:rPr>
        <w:t>have to</w:t>
      </w:r>
      <w:proofErr w:type="gramEnd"/>
      <w:r w:rsidRPr="00FD10C5">
        <w:rPr>
          <w:rFonts w:cstheme="minorHAnsi"/>
          <w:color w:val="000000" w:themeColor="text1"/>
        </w:rPr>
        <w:t xml:space="preserve"> be fulfilled even if the company has no business activity. However, smaller companies are only obliged to publish </w:t>
      </w:r>
      <w:proofErr w:type="gramStart"/>
      <w:r w:rsidRPr="00FD10C5">
        <w:rPr>
          <w:rFonts w:cstheme="minorHAnsi"/>
          <w:color w:val="000000" w:themeColor="text1"/>
        </w:rPr>
        <w:t>abbreviate</w:t>
      </w:r>
      <w:proofErr w:type="gramEnd"/>
      <w:r w:rsidRPr="00FD10C5">
        <w:rPr>
          <w:rFonts w:cstheme="minorHAnsi"/>
          <w:color w:val="000000" w:themeColor="text1"/>
        </w:rPr>
        <w:t xml:space="preserve"> annual accounts (</w:t>
      </w:r>
      <w:r w:rsidRPr="00B906CA">
        <w:rPr>
          <w:rFonts w:cstheme="minorHAnsi"/>
          <w:i/>
          <w:iCs/>
          <w:color w:val="000000" w:themeColor="text1"/>
        </w:rPr>
        <w:t xml:space="preserve">Cuentas </w:t>
      </w:r>
      <w:proofErr w:type="spellStart"/>
      <w:r w:rsidRPr="00B906CA">
        <w:rPr>
          <w:rFonts w:cstheme="minorHAnsi"/>
          <w:i/>
          <w:iCs/>
          <w:color w:val="000000" w:themeColor="text1"/>
        </w:rPr>
        <w:t>Anuales</w:t>
      </w:r>
      <w:proofErr w:type="spellEnd"/>
      <w:r w:rsidRPr="00B906CA">
        <w:rPr>
          <w:rFonts w:cstheme="minorHAnsi"/>
          <w:i/>
          <w:iCs/>
          <w:color w:val="000000" w:themeColor="text1"/>
        </w:rPr>
        <w:t xml:space="preserve"> </w:t>
      </w:r>
      <w:proofErr w:type="spellStart"/>
      <w:r w:rsidRPr="00B906CA">
        <w:rPr>
          <w:rFonts w:cstheme="minorHAnsi"/>
          <w:i/>
          <w:iCs/>
          <w:color w:val="000000" w:themeColor="text1"/>
        </w:rPr>
        <w:t>Abreviadas</w:t>
      </w:r>
      <w:proofErr w:type="spellEnd"/>
      <w:r w:rsidRPr="00FD10C5">
        <w:rPr>
          <w:rFonts w:cstheme="minorHAnsi"/>
          <w:color w:val="000000" w:themeColor="text1"/>
        </w:rPr>
        <w:t xml:space="preserve">). </w:t>
      </w:r>
    </w:p>
    <w:p w14:paraId="58A55648" w14:textId="77777777" w:rsidR="00FD10C5" w:rsidRDefault="00FD10C5" w:rsidP="00FD10C5">
      <w:pPr>
        <w:spacing w:line="240" w:lineRule="auto"/>
        <w:rPr>
          <w:rFonts w:cstheme="minorHAnsi"/>
          <w:color w:val="000000" w:themeColor="text1"/>
        </w:rPr>
      </w:pPr>
    </w:p>
    <w:p w14:paraId="00D38867" w14:textId="77777777" w:rsidR="00FD10C5" w:rsidRDefault="00FD10C5" w:rsidP="00FD10C5">
      <w:pPr>
        <w:spacing w:line="240" w:lineRule="auto"/>
        <w:rPr>
          <w:rFonts w:cstheme="minorHAnsi"/>
          <w:color w:val="000000" w:themeColor="text1"/>
        </w:rPr>
      </w:pPr>
    </w:p>
    <w:p w14:paraId="4D5496C0" w14:textId="7019DFAD" w:rsidR="00FD10C5" w:rsidRDefault="00FD10C5" w:rsidP="00FD10C5">
      <w:pPr>
        <w:pStyle w:val="berschrift2"/>
      </w:pPr>
      <w:r>
        <w:t>C</w:t>
      </w:r>
      <w:r w:rsidRPr="00FD10C5">
        <w:t xml:space="preserve">osts of incorporation </w:t>
      </w:r>
    </w:p>
    <w:p w14:paraId="3CD5A694" w14:textId="77777777" w:rsidR="00FD10C5" w:rsidRDefault="00FD10C5" w:rsidP="00FD10C5">
      <w:pPr>
        <w:spacing w:line="240" w:lineRule="auto"/>
        <w:rPr>
          <w:rFonts w:cstheme="minorHAnsi"/>
          <w:color w:val="000000" w:themeColor="text1"/>
        </w:rPr>
      </w:pPr>
    </w:p>
    <w:p w14:paraId="7888EA87" w14:textId="77777777" w:rsidR="00FD10C5" w:rsidRDefault="00B75D43" w:rsidP="00FD10C5">
      <w:pPr>
        <w:spacing w:line="240" w:lineRule="auto"/>
        <w:rPr>
          <w:rFonts w:cstheme="minorHAnsi"/>
          <w:color w:val="000000" w:themeColor="text1"/>
        </w:rPr>
      </w:pPr>
      <w:r w:rsidRPr="00FD10C5">
        <w:rPr>
          <w:rFonts w:cstheme="minorHAnsi"/>
          <w:color w:val="000000" w:themeColor="text1"/>
        </w:rPr>
        <w:t xml:space="preserve">Incorporation costs consist of the notary’s fees, Companies Registry fees and publication costs and, of course, legal fees involved in the drafting of incorporation documentation, assistance on the granting of the constitution deed, applying for Company’s Tax Identification Number, and taking care of all steps necessary for the registration of the new company under the Companies Registry among other interventions. </w:t>
      </w:r>
    </w:p>
    <w:p w14:paraId="327FF365" w14:textId="77777777" w:rsidR="00FD10C5" w:rsidRDefault="00FD10C5" w:rsidP="00FD10C5">
      <w:pPr>
        <w:spacing w:line="240" w:lineRule="auto"/>
        <w:rPr>
          <w:rFonts w:cstheme="minorHAnsi"/>
          <w:color w:val="000000" w:themeColor="text1"/>
        </w:rPr>
      </w:pPr>
    </w:p>
    <w:p w14:paraId="69985462" w14:textId="379A38C0" w:rsidR="00FD10C5" w:rsidRDefault="00B75D43" w:rsidP="00FD10C5">
      <w:pPr>
        <w:spacing w:line="240" w:lineRule="auto"/>
        <w:rPr>
          <w:rFonts w:cstheme="minorHAnsi"/>
          <w:color w:val="000000" w:themeColor="text1"/>
        </w:rPr>
      </w:pPr>
      <w:r w:rsidRPr="00FD10C5">
        <w:rPr>
          <w:rFonts w:cstheme="minorHAnsi"/>
          <w:color w:val="000000" w:themeColor="text1"/>
        </w:rPr>
        <w:t xml:space="preserve">Said costs may vary depending on the share capital, the number of shareholders, the number of directors, whether they are individuals or legal entities, among other factors. </w:t>
      </w:r>
    </w:p>
    <w:p w14:paraId="16180DF5" w14:textId="77777777" w:rsidR="00FD10C5" w:rsidRDefault="00FD10C5" w:rsidP="00FD10C5">
      <w:pPr>
        <w:spacing w:line="240" w:lineRule="auto"/>
        <w:rPr>
          <w:rFonts w:cstheme="minorHAnsi"/>
          <w:color w:val="000000" w:themeColor="text1"/>
        </w:rPr>
      </w:pPr>
    </w:p>
    <w:p w14:paraId="365B9EAE" w14:textId="77777777" w:rsidR="00FD10C5" w:rsidRDefault="00FD10C5" w:rsidP="00FD10C5">
      <w:pPr>
        <w:pStyle w:val="berschrift2"/>
      </w:pPr>
    </w:p>
    <w:p w14:paraId="20834943" w14:textId="08CC599B" w:rsidR="00FD10C5" w:rsidRDefault="00FD10C5" w:rsidP="00FD10C5">
      <w:pPr>
        <w:pStyle w:val="berschrift2"/>
      </w:pPr>
      <w:r>
        <w:t>C</w:t>
      </w:r>
      <w:r w:rsidRPr="00FD10C5">
        <w:t xml:space="preserve">orporate </w:t>
      </w:r>
      <w:r w:rsidR="007204A8">
        <w:t>I</w:t>
      </w:r>
      <w:r w:rsidRPr="00FD10C5">
        <w:t xml:space="preserve">ncome </w:t>
      </w:r>
      <w:r w:rsidR="007204A8">
        <w:t>T</w:t>
      </w:r>
      <w:r w:rsidRPr="00FD10C5">
        <w:t xml:space="preserve">ax </w:t>
      </w:r>
    </w:p>
    <w:p w14:paraId="3F112B1B" w14:textId="77777777" w:rsidR="00FD10C5" w:rsidRDefault="00FD10C5" w:rsidP="00FD10C5">
      <w:pPr>
        <w:spacing w:line="240" w:lineRule="auto"/>
        <w:rPr>
          <w:rFonts w:cstheme="minorHAnsi"/>
          <w:color w:val="000000" w:themeColor="text1"/>
        </w:rPr>
      </w:pPr>
    </w:p>
    <w:p w14:paraId="779E80EF" w14:textId="77777777" w:rsidR="007204A8" w:rsidRDefault="00B75D43" w:rsidP="000C2686">
      <w:pPr>
        <w:spacing w:line="240" w:lineRule="auto"/>
        <w:rPr>
          <w:rFonts w:cstheme="minorHAnsi"/>
          <w:color w:val="000000" w:themeColor="text1"/>
        </w:rPr>
      </w:pPr>
      <w:r w:rsidRPr="00FD10C5">
        <w:rPr>
          <w:rFonts w:cstheme="minorHAnsi"/>
          <w:color w:val="000000" w:themeColor="text1"/>
        </w:rPr>
        <w:t>The Corporate Income Tax (</w:t>
      </w:r>
      <w:proofErr w:type="spellStart"/>
      <w:r w:rsidRPr="00B906CA">
        <w:rPr>
          <w:rFonts w:cstheme="minorHAnsi"/>
          <w:i/>
          <w:iCs/>
          <w:color w:val="000000" w:themeColor="text1"/>
        </w:rPr>
        <w:t>Impuesto</w:t>
      </w:r>
      <w:proofErr w:type="spellEnd"/>
      <w:r w:rsidRPr="00B906CA">
        <w:rPr>
          <w:rFonts w:cstheme="minorHAnsi"/>
          <w:i/>
          <w:iCs/>
          <w:color w:val="000000" w:themeColor="text1"/>
        </w:rPr>
        <w:t xml:space="preserve"> </w:t>
      </w:r>
      <w:proofErr w:type="spellStart"/>
      <w:r w:rsidRPr="00B906CA">
        <w:rPr>
          <w:rFonts w:cstheme="minorHAnsi"/>
          <w:i/>
          <w:iCs/>
          <w:color w:val="000000" w:themeColor="text1"/>
        </w:rPr>
        <w:t>Sobre</w:t>
      </w:r>
      <w:proofErr w:type="spellEnd"/>
      <w:r w:rsidRPr="00B906CA">
        <w:rPr>
          <w:rFonts w:cstheme="minorHAnsi"/>
          <w:i/>
          <w:iCs/>
          <w:color w:val="000000" w:themeColor="text1"/>
        </w:rPr>
        <w:t xml:space="preserve"> </w:t>
      </w:r>
      <w:proofErr w:type="spellStart"/>
      <w:r w:rsidRPr="00B906CA">
        <w:rPr>
          <w:rFonts w:cstheme="minorHAnsi"/>
          <w:i/>
          <w:iCs/>
          <w:color w:val="000000" w:themeColor="text1"/>
        </w:rPr>
        <w:t>Sociedades</w:t>
      </w:r>
      <w:proofErr w:type="spellEnd"/>
      <w:r w:rsidRPr="00FD10C5">
        <w:rPr>
          <w:rFonts w:cstheme="minorHAnsi"/>
          <w:color w:val="000000" w:themeColor="text1"/>
        </w:rPr>
        <w:t>) is a direct tax levied on the income of companies (</w:t>
      </w:r>
      <w:proofErr w:type="gramStart"/>
      <w:r w:rsidRPr="00FD10C5">
        <w:rPr>
          <w:rFonts w:cstheme="minorHAnsi"/>
          <w:color w:val="000000" w:themeColor="text1"/>
        </w:rPr>
        <w:t>included</w:t>
      </w:r>
      <w:proofErr w:type="gramEnd"/>
      <w:r w:rsidRPr="00FD10C5">
        <w:rPr>
          <w:rFonts w:cstheme="minorHAnsi"/>
          <w:color w:val="000000" w:themeColor="text1"/>
        </w:rPr>
        <w:t xml:space="preserve"> the SLs) and other legal entities. The general tax rate applicable to taxpayers residing in Spanish territory is 25%. However, for entities whose </w:t>
      </w:r>
      <w:r w:rsidRPr="00FD10C5">
        <w:rPr>
          <w:rFonts w:cstheme="minorHAnsi"/>
          <w:color w:val="000000" w:themeColor="text1"/>
        </w:rPr>
        <w:lastRenderedPageBreak/>
        <w:t xml:space="preserve">net turnover in the immediately preceding tax period is less than € 1,000,000.00, the applicable rate is 23% for tax periods beginning on or after January 1, 2023. </w:t>
      </w:r>
    </w:p>
    <w:p w14:paraId="27AEAEBA" w14:textId="77777777" w:rsidR="007204A8" w:rsidRDefault="007204A8" w:rsidP="000C2686">
      <w:pPr>
        <w:spacing w:line="240" w:lineRule="auto"/>
        <w:rPr>
          <w:rFonts w:cstheme="minorHAnsi"/>
          <w:color w:val="000000" w:themeColor="text1"/>
        </w:rPr>
      </w:pPr>
    </w:p>
    <w:p w14:paraId="0B475DC4" w14:textId="634EB04B" w:rsidR="000C2686" w:rsidRDefault="00B75D43" w:rsidP="000C2686">
      <w:pPr>
        <w:spacing w:line="240" w:lineRule="auto"/>
        <w:rPr>
          <w:rFonts w:cstheme="minorHAnsi"/>
          <w:color w:val="000000" w:themeColor="text1"/>
        </w:rPr>
      </w:pPr>
      <w:r w:rsidRPr="00FD10C5">
        <w:rPr>
          <w:rFonts w:cstheme="minorHAnsi"/>
          <w:color w:val="000000" w:themeColor="text1"/>
        </w:rPr>
        <w:t>Likewise, newly established companies are temporarily subject to a reduced tax rate of 15%. This reduced rate applies to the first tax period in which the tax base is positive, as well as the following tax period</w:t>
      </w:r>
      <w:r w:rsidR="00B906CA">
        <w:rPr>
          <w:rFonts w:cstheme="minorHAnsi"/>
          <w:color w:val="000000" w:themeColor="text1"/>
        </w:rPr>
        <w:t>.</w:t>
      </w:r>
      <w:r w:rsidR="00FD10C5">
        <w:rPr>
          <w:rFonts w:cstheme="minorHAnsi"/>
          <w:color w:val="000000" w:themeColor="text1"/>
        </w:rPr>
        <w:t xml:space="preserve"> </w:t>
      </w:r>
    </w:p>
    <w:p w14:paraId="74033E14" w14:textId="64B0A23B" w:rsidR="000C2686" w:rsidRDefault="000C2686" w:rsidP="000C2686">
      <w:pPr>
        <w:spacing w:line="240" w:lineRule="auto"/>
        <w:rPr>
          <w:rFonts w:cstheme="minorHAnsi"/>
          <w:color w:val="000000" w:themeColor="text1"/>
        </w:rPr>
      </w:pPr>
    </w:p>
    <w:p w14:paraId="65FE2BEE" w14:textId="77777777" w:rsidR="0036242D" w:rsidRDefault="0036242D" w:rsidP="0036242D">
      <w:pPr>
        <w:spacing w:line="240" w:lineRule="auto"/>
        <w:rPr>
          <w:rFonts w:cstheme="minorHAnsi"/>
          <w:color w:val="000000" w:themeColor="text1"/>
        </w:rPr>
      </w:pPr>
    </w:p>
    <w:p w14:paraId="66AFA93C" w14:textId="4A4332E7" w:rsidR="001C6849" w:rsidRPr="00773C5B" w:rsidRDefault="002D555F" w:rsidP="007204A8">
      <w:r>
        <w:br w:type="page"/>
      </w:r>
      <w:bookmarkStart w:id="0" w:name="_Hlk36737180"/>
    </w:p>
    <w:p w14:paraId="7BFC5E33" w14:textId="77777777" w:rsidR="001C6849" w:rsidRPr="001C6849" w:rsidRDefault="001C6849" w:rsidP="001C6849">
      <w:pPr>
        <w:autoSpaceDE w:val="0"/>
        <w:adjustRightInd w:val="0"/>
        <w:spacing w:line="260" w:lineRule="atLeast"/>
        <w:ind w:left="0"/>
        <w:contextualSpacing w:val="0"/>
        <w:jc w:val="center"/>
        <w:rPr>
          <w:rFonts w:eastAsia="ArialMT"/>
          <w:bCs w:val="0"/>
          <w:color w:val="5B81CD"/>
          <w:sz w:val="32"/>
          <w:szCs w:val="32"/>
          <w:lang w:val="en-GB" w:eastAsia="de-DE"/>
        </w:rPr>
      </w:pPr>
      <w:r w:rsidRPr="001C6849">
        <w:rPr>
          <w:rFonts w:eastAsia="ArialMT"/>
          <w:bCs w:val="0"/>
          <w:color w:val="2F5496" w:themeColor="accent1" w:themeShade="BF"/>
          <w:sz w:val="32"/>
          <w:szCs w:val="32"/>
          <w:lang w:val="en-GB" w:eastAsia="de-DE"/>
        </w:rPr>
        <w:lastRenderedPageBreak/>
        <w:t>THE ALLIURIS GROUP</w:t>
      </w:r>
    </w:p>
    <w:p w14:paraId="1BB6D0F4" w14:textId="77777777" w:rsidR="001C6849" w:rsidRDefault="001C6849" w:rsidP="001C6849">
      <w:pPr>
        <w:autoSpaceDE w:val="0"/>
        <w:adjustRightInd w:val="0"/>
        <w:spacing w:line="260" w:lineRule="atLeast"/>
        <w:ind w:left="0"/>
        <w:contextualSpacing w:val="0"/>
        <w:jc w:val="center"/>
        <w:rPr>
          <w:rFonts w:eastAsia="ArialMT"/>
          <w:bCs w:val="0"/>
          <w:color w:val="404040"/>
          <w:spacing w:val="10"/>
          <w:sz w:val="18"/>
          <w:szCs w:val="18"/>
          <w:lang w:val="en-GB" w:eastAsia="de-DE"/>
        </w:rPr>
      </w:pPr>
      <w:r w:rsidRPr="001C6849">
        <w:rPr>
          <w:rFonts w:eastAsia="ArialMT"/>
          <w:bCs w:val="0"/>
          <w:color w:val="404040"/>
          <w:spacing w:val="10"/>
          <w:sz w:val="18"/>
          <w:szCs w:val="18"/>
          <w:lang w:val="en-GB" w:eastAsia="de-DE"/>
        </w:rPr>
        <w:t>ALLIANCE OF INTERNATIONAL BUSINESS LAWYERS</w:t>
      </w:r>
    </w:p>
    <w:p w14:paraId="41DEB93C" w14:textId="77777777" w:rsidR="001C6849" w:rsidRPr="001C6849" w:rsidRDefault="001C6849" w:rsidP="001C6849">
      <w:pPr>
        <w:autoSpaceDE w:val="0"/>
        <w:adjustRightInd w:val="0"/>
        <w:spacing w:line="260" w:lineRule="atLeast"/>
        <w:ind w:left="0"/>
        <w:contextualSpacing w:val="0"/>
        <w:jc w:val="center"/>
        <w:rPr>
          <w:rFonts w:ascii="Liberation Serif" w:eastAsia="ArialMT" w:hAnsi="Liberation Serif" w:cs="Arial"/>
          <w:bCs w:val="0"/>
          <w:color w:val="404040"/>
          <w:sz w:val="16"/>
          <w:szCs w:val="16"/>
          <w:lang w:val="en-GB" w:eastAsia="de-DE"/>
        </w:rPr>
      </w:pPr>
      <w:r w:rsidRPr="001C6849">
        <w:rPr>
          <w:rFonts w:ascii="Liberation Serif" w:eastAsia="ArialMT" w:hAnsi="Liberation Serif" w:cs="Arial"/>
          <w:bCs w:val="0"/>
          <w:color w:val="404040"/>
          <w:sz w:val="16"/>
          <w:szCs w:val="16"/>
          <w:lang w:val="en-GB" w:eastAsia="de-DE"/>
        </w:rPr>
        <w:t>-</w:t>
      </w:r>
    </w:p>
    <w:bookmarkEnd w:id="0"/>
    <w:p w14:paraId="10AE4342" w14:textId="52C6174C" w:rsidR="001C6849" w:rsidRPr="001C6849" w:rsidRDefault="001C6849" w:rsidP="004F001E">
      <w:pPr>
        <w:autoSpaceDE w:val="0"/>
        <w:adjustRightInd w:val="0"/>
        <w:spacing w:line="240" w:lineRule="auto"/>
        <w:ind w:left="0"/>
        <w:contextualSpacing w:val="0"/>
        <w:rPr>
          <w:rFonts w:ascii="Arial Narrow" w:eastAsia="ArialMT" w:hAnsi="Arial Narrow" w:cs="Arial"/>
          <w:bCs w:val="0"/>
          <w:color w:val="D09A00"/>
          <w:sz w:val="28"/>
          <w:szCs w:val="28"/>
          <w:lang w:val="en-GB" w:eastAsia="de-DE"/>
        </w:rPr>
      </w:pPr>
      <w:r w:rsidRPr="001C6849">
        <w:rPr>
          <w:rFonts w:ascii="Arial Narrow" w:eastAsia="ArialMT" w:hAnsi="Arial Narrow" w:cs="Arial"/>
          <w:bCs w:val="0"/>
          <w:color w:val="D09A00"/>
          <w:sz w:val="28"/>
          <w:szCs w:val="28"/>
          <w:lang w:val="en-GB" w:eastAsia="de-DE"/>
        </w:rPr>
        <w:t>M</w:t>
      </w:r>
      <w:r w:rsidR="00114B68">
        <w:rPr>
          <w:rFonts w:ascii="Arial Narrow" w:eastAsia="ArialMT" w:hAnsi="Arial Narrow" w:cs="Arial"/>
          <w:bCs w:val="0"/>
          <w:color w:val="D09A00"/>
          <w:sz w:val="28"/>
          <w:szCs w:val="28"/>
          <w:lang w:val="en-GB" w:eastAsia="de-DE"/>
        </w:rPr>
        <w:t>embers</w:t>
      </w:r>
    </w:p>
    <w:p w14:paraId="4E8D2B7F" w14:textId="77777777" w:rsidR="004B7D2D" w:rsidRPr="004F001E" w:rsidRDefault="004B7D2D" w:rsidP="001C6849">
      <w:pPr>
        <w:ind w:left="0"/>
        <w:rPr>
          <w:sz w:val="18"/>
          <w:szCs w:val="18"/>
          <w:lang w:val="en-GB" w:eastAsia="de-DE"/>
        </w:rPr>
      </w:pPr>
    </w:p>
    <w:p w14:paraId="5B0BE47F" w14:textId="77777777" w:rsidR="004B7D2D" w:rsidRPr="001C6849" w:rsidRDefault="004B7D2D" w:rsidP="001C6849">
      <w:pPr>
        <w:pStyle w:val="Listenabsatz"/>
        <w:numPr>
          <w:ilvl w:val="0"/>
          <w:numId w:val="3"/>
        </w:numPr>
        <w:rPr>
          <w:sz w:val="20"/>
          <w:szCs w:val="20"/>
          <w:lang w:val="en-GB" w:eastAsia="de-DE"/>
        </w:rPr>
      </w:pPr>
      <w:bookmarkStart w:id="1" w:name="_Hlk185342971"/>
      <w:r w:rsidRPr="001C6849">
        <w:rPr>
          <w:sz w:val="20"/>
          <w:szCs w:val="20"/>
          <w:lang w:val="en-GB" w:eastAsia="de-DE"/>
        </w:rPr>
        <w:t xml:space="preserve">4|5|3 </w:t>
      </w:r>
      <w:proofErr w:type="spellStart"/>
      <w:r w:rsidRPr="001C6849">
        <w:rPr>
          <w:sz w:val="20"/>
          <w:szCs w:val="20"/>
          <w:lang w:val="en-GB" w:eastAsia="de-DE"/>
        </w:rPr>
        <w:t>Lawfirm</w:t>
      </w:r>
      <w:proofErr w:type="spellEnd"/>
      <w:r w:rsidRPr="001C6849">
        <w:rPr>
          <w:sz w:val="20"/>
          <w:szCs w:val="20"/>
          <w:lang w:val="en-GB" w:eastAsia="de-DE"/>
        </w:rPr>
        <w:t>, Barcelona/Madrid, Spain</w:t>
      </w:r>
    </w:p>
    <w:p w14:paraId="7249C88E" w14:textId="77777777" w:rsidR="004B7D2D" w:rsidRPr="001C6849" w:rsidRDefault="004B7D2D" w:rsidP="001C6849">
      <w:pPr>
        <w:pStyle w:val="Listenabsatz"/>
        <w:numPr>
          <w:ilvl w:val="0"/>
          <w:numId w:val="3"/>
        </w:numPr>
        <w:rPr>
          <w:sz w:val="20"/>
          <w:szCs w:val="20"/>
          <w:lang w:val="pt-BR" w:eastAsia="de-DE"/>
        </w:rPr>
      </w:pPr>
      <w:r w:rsidRPr="001C6849">
        <w:rPr>
          <w:sz w:val="20"/>
          <w:szCs w:val="20"/>
          <w:lang w:val="pt-BR" w:eastAsia="de-DE"/>
        </w:rPr>
        <w:t>ATPR Sociedade de Avogados, Lisbon, Portugal</w:t>
      </w:r>
    </w:p>
    <w:p w14:paraId="139FE96C" w14:textId="77777777" w:rsidR="004B7D2D" w:rsidRPr="001C6849" w:rsidRDefault="004B7D2D" w:rsidP="001C6849">
      <w:pPr>
        <w:pStyle w:val="Listenabsatz"/>
        <w:numPr>
          <w:ilvl w:val="0"/>
          <w:numId w:val="3"/>
        </w:numPr>
        <w:rPr>
          <w:sz w:val="20"/>
          <w:szCs w:val="20"/>
          <w:lang w:val="pt-BR" w:eastAsia="de-DE"/>
        </w:rPr>
      </w:pPr>
      <w:r w:rsidRPr="001C6849">
        <w:rPr>
          <w:sz w:val="20"/>
          <w:szCs w:val="20"/>
          <w:lang w:val="pt-BR" w:eastAsia="de-DE"/>
        </w:rPr>
        <w:t>BCO Bazán Cambré Orts, Buenos Aires, Argentina</w:t>
      </w:r>
    </w:p>
    <w:p w14:paraId="78CA9532" w14:textId="113D682B" w:rsidR="004B7D2D" w:rsidRPr="001C6849" w:rsidRDefault="004B7D2D" w:rsidP="001C6849">
      <w:pPr>
        <w:pStyle w:val="Listenabsatz"/>
        <w:numPr>
          <w:ilvl w:val="0"/>
          <w:numId w:val="3"/>
        </w:numPr>
        <w:rPr>
          <w:sz w:val="20"/>
          <w:szCs w:val="20"/>
          <w:lang w:val="pt-BR" w:eastAsia="de-DE"/>
        </w:rPr>
      </w:pPr>
      <w:r w:rsidRPr="001C6849">
        <w:rPr>
          <w:sz w:val="20"/>
          <w:szCs w:val="20"/>
          <w:lang w:val="pt-BR" w:eastAsia="de-DE"/>
        </w:rPr>
        <w:t>Brand &amp; Partner, Moscow, Russia</w:t>
      </w:r>
    </w:p>
    <w:p w14:paraId="36B7E4CC" w14:textId="47D142CC" w:rsidR="003051D9" w:rsidRPr="001C6849" w:rsidRDefault="003051D9" w:rsidP="001C6849">
      <w:pPr>
        <w:pStyle w:val="Listenabsatz"/>
        <w:numPr>
          <w:ilvl w:val="0"/>
          <w:numId w:val="3"/>
        </w:numPr>
        <w:rPr>
          <w:sz w:val="20"/>
          <w:szCs w:val="20"/>
          <w:lang w:val="en-GB" w:eastAsia="de-DE"/>
        </w:rPr>
      </w:pPr>
      <w:r w:rsidRPr="001C6849">
        <w:rPr>
          <w:sz w:val="20"/>
          <w:szCs w:val="20"/>
          <w:lang w:val="en-GB" w:eastAsia="de-DE"/>
        </w:rPr>
        <w:t>Brauneis, Vienna, Austria</w:t>
      </w:r>
    </w:p>
    <w:p w14:paraId="20945139" w14:textId="04083EAB" w:rsidR="00A51694" w:rsidRPr="001C6849" w:rsidRDefault="00A51694" w:rsidP="001C6849">
      <w:pPr>
        <w:pStyle w:val="Listenabsatz"/>
        <w:numPr>
          <w:ilvl w:val="0"/>
          <w:numId w:val="3"/>
        </w:numPr>
        <w:rPr>
          <w:sz w:val="20"/>
          <w:szCs w:val="20"/>
          <w:lang w:val="en-GB" w:eastAsia="de-DE"/>
        </w:rPr>
      </w:pPr>
      <w:r w:rsidRPr="001C6849">
        <w:rPr>
          <w:sz w:val="20"/>
          <w:szCs w:val="20"/>
          <w:lang w:eastAsia="de-DE"/>
        </w:rPr>
        <w:t>BHD Buhler Dugg</w:t>
      </w:r>
      <w:r w:rsidR="00E062A2" w:rsidRPr="001C6849">
        <w:rPr>
          <w:sz w:val="20"/>
          <w:szCs w:val="20"/>
          <w:lang w:eastAsia="de-DE"/>
        </w:rPr>
        <w:t>a</w:t>
      </w:r>
      <w:r w:rsidRPr="001C6849">
        <w:rPr>
          <w:sz w:val="20"/>
          <w:szCs w:val="20"/>
          <w:lang w:eastAsia="de-DE"/>
        </w:rPr>
        <w:t xml:space="preserve">l </w:t>
      </w:r>
      <w:r w:rsidR="00E062A2" w:rsidRPr="001C6849">
        <w:rPr>
          <w:sz w:val="20"/>
          <w:szCs w:val="20"/>
          <w:lang w:eastAsia="de-DE"/>
        </w:rPr>
        <w:t xml:space="preserve">&amp; </w:t>
      </w:r>
      <w:r w:rsidRPr="001C6849">
        <w:rPr>
          <w:sz w:val="20"/>
          <w:szCs w:val="20"/>
          <w:lang w:eastAsia="de-DE"/>
        </w:rPr>
        <w:t>Henry</w:t>
      </w:r>
      <w:r w:rsidR="00E062A2" w:rsidRPr="001C6849">
        <w:rPr>
          <w:sz w:val="20"/>
          <w:szCs w:val="20"/>
          <w:lang w:eastAsia="de-DE"/>
        </w:rPr>
        <w:t xml:space="preserve"> LLP</w:t>
      </w:r>
      <w:r w:rsidRPr="001C6849">
        <w:rPr>
          <w:sz w:val="20"/>
          <w:szCs w:val="20"/>
          <w:lang w:eastAsia="de-DE"/>
        </w:rPr>
        <w:t>, New York, USA</w:t>
      </w:r>
    </w:p>
    <w:p w14:paraId="430DB5FE" w14:textId="500CAC5E" w:rsidR="003051D9" w:rsidRPr="001C6849" w:rsidRDefault="003051D9" w:rsidP="001C6849">
      <w:pPr>
        <w:pStyle w:val="Listenabsatz"/>
        <w:numPr>
          <w:ilvl w:val="0"/>
          <w:numId w:val="3"/>
        </w:numPr>
        <w:rPr>
          <w:sz w:val="20"/>
          <w:szCs w:val="20"/>
          <w:lang w:val="es-ES" w:eastAsia="de-DE"/>
        </w:rPr>
      </w:pPr>
      <w:r w:rsidRPr="001C6849">
        <w:rPr>
          <w:sz w:val="20"/>
          <w:szCs w:val="20"/>
          <w:lang w:val="es-ES" w:eastAsia="de-DE"/>
        </w:rPr>
        <w:t>Bustamante Sinn, Abogados, Santiago de Chile, Chile</w:t>
      </w:r>
    </w:p>
    <w:p w14:paraId="42F243D2" w14:textId="4C0DA8B3" w:rsidR="003051D9" w:rsidRPr="001C6849" w:rsidRDefault="003051D9" w:rsidP="001C6849">
      <w:pPr>
        <w:pStyle w:val="Listenabsatz"/>
        <w:numPr>
          <w:ilvl w:val="0"/>
          <w:numId w:val="3"/>
        </w:numPr>
        <w:rPr>
          <w:sz w:val="20"/>
          <w:szCs w:val="20"/>
          <w:lang w:val="es-ES" w:eastAsia="de-DE"/>
        </w:rPr>
      </w:pPr>
      <w:r w:rsidRPr="001C6849">
        <w:rPr>
          <w:sz w:val="20"/>
          <w:szCs w:val="20"/>
          <w:lang w:val="es-ES" w:eastAsia="de-DE"/>
        </w:rPr>
        <w:t>Deustua Halperin, Lima, Peru</w:t>
      </w:r>
    </w:p>
    <w:p w14:paraId="0ECA8B84" w14:textId="77777777" w:rsidR="004B7D2D" w:rsidRPr="001C6849" w:rsidRDefault="004B7D2D" w:rsidP="001C6849">
      <w:pPr>
        <w:pStyle w:val="Listenabsatz"/>
        <w:numPr>
          <w:ilvl w:val="0"/>
          <w:numId w:val="3"/>
        </w:numPr>
        <w:rPr>
          <w:sz w:val="20"/>
          <w:szCs w:val="20"/>
          <w:lang w:val="pt-BR" w:eastAsia="de-DE"/>
        </w:rPr>
      </w:pPr>
      <w:r w:rsidRPr="001C6849">
        <w:rPr>
          <w:sz w:val="20"/>
          <w:szCs w:val="20"/>
          <w:lang w:val="pt-BR" w:eastAsia="de-DE"/>
        </w:rPr>
        <w:t>Farthouat &amp; Associés, Paris, France</w:t>
      </w:r>
    </w:p>
    <w:p w14:paraId="0B56ED3F" w14:textId="77777777" w:rsidR="004B7D2D" w:rsidRPr="001C6849" w:rsidRDefault="004B7D2D" w:rsidP="001C6849">
      <w:pPr>
        <w:pStyle w:val="Listenabsatz"/>
        <w:numPr>
          <w:ilvl w:val="0"/>
          <w:numId w:val="3"/>
        </w:numPr>
        <w:rPr>
          <w:sz w:val="20"/>
          <w:szCs w:val="20"/>
          <w:lang w:val="it-IT" w:eastAsia="de-DE"/>
        </w:rPr>
      </w:pPr>
      <w:r w:rsidRPr="001C6849">
        <w:rPr>
          <w:sz w:val="20"/>
          <w:szCs w:val="20"/>
          <w:lang w:val="it-IT" w:eastAsia="de-DE"/>
        </w:rPr>
        <w:t xml:space="preserve">FDL Studio legale e tributario, Milan, </w:t>
      </w:r>
      <w:proofErr w:type="spellStart"/>
      <w:r w:rsidRPr="001C6849">
        <w:rPr>
          <w:sz w:val="20"/>
          <w:szCs w:val="20"/>
          <w:lang w:val="it-IT" w:eastAsia="de-DE"/>
        </w:rPr>
        <w:t>Italy</w:t>
      </w:r>
      <w:proofErr w:type="spellEnd"/>
    </w:p>
    <w:p w14:paraId="20D83665" w14:textId="77777777" w:rsidR="004B7D2D" w:rsidRPr="001C6849" w:rsidRDefault="004B7D2D" w:rsidP="001C6849">
      <w:pPr>
        <w:pStyle w:val="Listenabsatz"/>
        <w:numPr>
          <w:ilvl w:val="0"/>
          <w:numId w:val="3"/>
        </w:numPr>
        <w:rPr>
          <w:sz w:val="20"/>
          <w:szCs w:val="20"/>
          <w:lang w:val="pt-BR" w:eastAsia="de-DE"/>
        </w:rPr>
      </w:pPr>
      <w:r w:rsidRPr="001C6849">
        <w:rPr>
          <w:sz w:val="20"/>
          <w:szCs w:val="20"/>
          <w:lang w:val="pt-BR" w:eastAsia="de-DE"/>
        </w:rPr>
        <w:t xml:space="preserve">Hammurabi &amp; Solomon Partners, New Delhi, India </w:t>
      </w:r>
    </w:p>
    <w:p w14:paraId="21AB967D" w14:textId="77777777" w:rsidR="004B7D2D" w:rsidRPr="001C6849" w:rsidRDefault="004B7D2D" w:rsidP="001C6849">
      <w:pPr>
        <w:pStyle w:val="Listenabsatz"/>
        <w:numPr>
          <w:ilvl w:val="0"/>
          <w:numId w:val="3"/>
        </w:numPr>
        <w:rPr>
          <w:sz w:val="20"/>
          <w:szCs w:val="20"/>
          <w:lang w:val="pt-BR" w:eastAsia="de-DE"/>
        </w:rPr>
      </w:pPr>
      <w:r w:rsidRPr="001C6849">
        <w:rPr>
          <w:sz w:val="20"/>
          <w:szCs w:val="20"/>
          <w:lang w:val="pt-BR" w:eastAsia="de-DE"/>
        </w:rPr>
        <w:t>Herfurth &amp; Partner, Hanover, Germany</w:t>
      </w:r>
    </w:p>
    <w:p w14:paraId="3B76B18D" w14:textId="5E110559" w:rsidR="003051D9" w:rsidRPr="001C6849" w:rsidRDefault="003051D9" w:rsidP="001C6849">
      <w:pPr>
        <w:pStyle w:val="Listenabsatz"/>
        <w:numPr>
          <w:ilvl w:val="0"/>
          <w:numId w:val="3"/>
        </w:numPr>
        <w:rPr>
          <w:sz w:val="20"/>
          <w:szCs w:val="20"/>
          <w:lang w:val="en-GB" w:eastAsia="de-DE"/>
        </w:rPr>
      </w:pPr>
      <w:r w:rsidRPr="001C6849">
        <w:rPr>
          <w:sz w:val="20"/>
          <w:szCs w:val="20"/>
          <w:lang w:val="en-GB" w:eastAsia="de-DE"/>
        </w:rPr>
        <w:t xml:space="preserve">Hristova </w:t>
      </w:r>
      <w:proofErr w:type="spellStart"/>
      <w:r w:rsidRPr="001C6849">
        <w:rPr>
          <w:sz w:val="20"/>
          <w:szCs w:val="20"/>
          <w:lang w:val="en-GB" w:eastAsia="de-DE"/>
        </w:rPr>
        <w:t>Lawfirm</w:t>
      </w:r>
      <w:proofErr w:type="spellEnd"/>
      <w:r w:rsidRPr="001C6849">
        <w:rPr>
          <w:sz w:val="20"/>
          <w:szCs w:val="20"/>
          <w:lang w:val="en-GB" w:eastAsia="de-DE"/>
        </w:rPr>
        <w:t xml:space="preserve">, Sofia, Bulgaria </w:t>
      </w:r>
    </w:p>
    <w:p w14:paraId="4EB8EC10" w14:textId="69F37259" w:rsidR="004B7D2D" w:rsidRPr="001C6849" w:rsidRDefault="004B7D2D" w:rsidP="001C6849">
      <w:pPr>
        <w:pStyle w:val="Listenabsatz"/>
        <w:numPr>
          <w:ilvl w:val="0"/>
          <w:numId w:val="3"/>
        </w:numPr>
        <w:rPr>
          <w:sz w:val="20"/>
          <w:szCs w:val="20"/>
          <w:lang w:val="en-GB" w:eastAsia="de-DE"/>
        </w:rPr>
      </w:pPr>
      <w:proofErr w:type="spellStart"/>
      <w:r w:rsidRPr="001C6849">
        <w:rPr>
          <w:sz w:val="20"/>
          <w:szCs w:val="20"/>
          <w:lang w:val="en-GB" w:eastAsia="de-DE"/>
        </w:rPr>
        <w:t>Karytinos</w:t>
      </w:r>
      <w:proofErr w:type="spellEnd"/>
      <w:r w:rsidRPr="001C6849">
        <w:rPr>
          <w:sz w:val="20"/>
          <w:szCs w:val="20"/>
          <w:lang w:val="en-GB" w:eastAsia="de-DE"/>
        </w:rPr>
        <w:t xml:space="preserve"> Partners, Athens, Greece</w:t>
      </w:r>
    </w:p>
    <w:p w14:paraId="2744F390" w14:textId="3203CEFA" w:rsidR="004B7D2D" w:rsidRPr="001C6849" w:rsidRDefault="00351121" w:rsidP="001C6849">
      <w:pPr>
        <w:pStyle w:val="Listenabsatz"/>
        <w:numPr>
          <w:ilvl w:val="0"/>
          <w:numId w:val="3"/>
        </w:numPr>
        <w:rPr>
          <w:sz w:val="20"/>
          <w:szCs w:val="20"/>
          <w:lang w:val="en-GB" w:eastAsia="de-DE"/>
        </w:rPr>
      </w:pPr>
      <w:proofErr w:type="spellStart"/>
      <w:r>
        <w:rPr>
          <w:sz w:val="20"/>
          <w:szCs w:val="20"/>
          <w:lang w:val="en-GB" w:eastAsia="de-DE"/>
        </w:rPr>
        <w:t>Laytons</w:t>
      </w:r>
      <w:proofErr w:type="spellEnd"/>
      <w:r>
        <w:rPr>
          <w:sz w:val="20"/>
          <w:szCs w:val="20"/>
          <w:lang w:val="en-GB" w:eastAsia="de-DE"/>
        </w:rPr>
        <w:t xml:space="preserve"> ETL</w:t>
      </w:r>
      <w:r w:rsidR="004B7D2D" w:rsidRPr="001C6849">
        <w:rPr>
          <w:sz w:val="20"/>
          <w:szCs w:val="20"/>
          <w:lang w:val="en-GB" w:eastAsia="de-DE"/>
        </w:rPr>
        <w:t>, London, UK</w:t>
      </w:r>
    </w:p>
    <w:p w14:paraId="1B40954F" w14:textId="77777777" w:rsidR="004B7D2D" w:rsidRPr="001C6849" w:rsidRDefault="004B7D2D" w:rsidP="001C6849">
      <w:pPr>
        <w:pStyle w:val="Listenabsatz"/>
        <w:numPr>
          <w:ilvl w:val="0"/>
          <w:numId w:val="3"/>
        </w:numPr>
        <w:rPr>
          <w:sz w:val="20"/>
          <w:szCs w:val="20"/>
          <w:lang w:val="en-GB" w:eastAsia="de-DE"/>
        </w:rPr>
      </w:pPr>
      <w:r w:rsidRPr="001C6849">
        <w:rPr>
          <w:sz w:val="20"/>
          <w:szCs w:val="20"/>
          <w:lang w:val="en-GB" w:eastAsia="de-DE"/>
        </w:rPr>
        <w:t>LEXTRUST Avocats, Luxemburg, Luxemburg</w:t>
      </w:r>
    </w:p>
    <w:p w14:paraId="17ACC1CE" w14:textId="1130C3D3" w:rsidR="004B7D2D" w:rsidRPr="001C6849" w:rsidRDefault="003051D9" w:rsidP="001C6849">
      <w:pPr>
        <w:pStyle w:val="Listenabsatz"/>
        <w:numPr>
          <w:ilvl w:val="0"/>
          <w:numId w:val="3"/>
        </w:numPr>
        <w:rPr>
          <w:sz w:val="20"/>
          <w:szCs w:val="20"/>
          <w:lang w:val="en-GB" w:eastAsia="de-DE"/>
        </w:rPr>
      </w:pPr>
      <w:proofErr w:type="spellStart"/>
      <w:r w:rsidRPr="001C6849">
        <w:rPr>
          <w:sz w:val="20"/>
          <w:szCs w:val="20"/>
          <w:lang w:val="en-GB" w:eastAsia="de-DE"/>
        </w:rPr>
        <w:t>Steenaert</w:t>
      </w:r>
      <w:proofErr w:type="spellEnd"/>
      <w:r w:rsidR="004B7D2D" w:rsidRPr="001C6849">
        <w:rPr>
          <w:sz w:val="20"/>
          <w:szCs w:val="20"/>
          <w:lang w:val="en-GB" w:eastAsia="de-DE"/>
        </w:rPr>
        <w:t xml:space="preserve">, </w:t>
      </w:r>
      <w:r w:rsidRPr="001C6849">
        <w:rPr>
          <w:sz w:val="20"/>
          <w:szCs w:val="20"/>
          <w:lang w:val="en-GB" w:eastAsia="de-DE"/>
        </w:rPr>
        <w:t xml:space="preserve">Utrecht, </w:t>
      </w:r>
      <w:r w:rsidR="004B7D2D" w:rsidRPr="001C6849">
        <w:rPr>
          <w:sz w:val="20"/>
          <w:szCs w:val="20"/>
          <w:lang w:val="en-GB" w:eastAsia="de-DE"/>
        </w:rPr>
        <w:t>Netherlands</w:t>
      </w:r>
    </w:p>
    <w:p w14:paraId="5993C7F6" w14:textId="62C3128F" w:rsidR="004B7D2D" w:rsidRPr="001C6849" w:rsidRDefault="004B7D2D" w:rsidP="001C6849">
      <w:pPr>
        <w:pStyle w:val="Listenabsatz"/>
        <w:numPr>
          <w:ilvl w:val="0"/>
          <w:numId w:val="3"/>
        </w:numPr>
        <w:rPr>
          <w:sz w:val="20"/>
          <w:szCs w:val="20"/>
          <w:lang w:eastAsia="de-DE"/>
        </w:rPr>
      </w:pPr>
      <w:proofErr w:type="spellStart"/>
      <w:r w:rsidRPr="001C6849">
        <w:rPr>
          <w:sz w:val="20"/>
          <w:szCs w:val="20"/>
          <w:lang w:eastAsia="de-DE"/>
        </w:rPr>
        <w:t>Muheim</w:t>
      </w:r>
      <w:proofErr w:type="spellEnd"/>
      <w:r w:rsidRPr="001C6849">
        <w:rPr>
          <w:sz w:val="20"/>
          <w:szCs w:val="20"/>
          <w:lang w:eastAsia="de-DE"/>
        </w:rPr>
        <w:t>,</w:t>
      </w:r>
      <w:r w:rsidR="003051D9" w:rsidRPr="001C6849">
        <w:rPr>
          <w:sz w:val="20"/>
          <w:szCs w:val="20"/>
          <w:lang w:eastAsia="de-DE"/>
        </w:rPr>
        <w:t xml:space="preserve"> Zug, </w:t>
      </w:r>
      <w:r w:rsidRPr="001C6849">
        <w:rPr>
          <w:sz w:val="20"/>
          <w:szCs w:val="20"/>
          <w:lang w:eastAsia="de-DE"/>
        </w:rPr>
        <w:t>Switzerland</w:t>
      </w:r>
    </w:p>
    <w:p w14:paraId="156B1730" w14:textId="77777777" w:rsidR="004B7D2D" w:rsidRPr="001C6849" w:rsidRDefault="004B7D2D" w:rsidP="001C6849">
      <w:pPr>
        <w:pStyle w:val="Listenabsatz"/>
        <w:numPr>
          <w:ilvl w:val="0"/>
          <w:numId w:val="3"/>
        </w:numPr>
        <w:rPr>
          <w:sz w:val="20"/>
          <w:szCs w:val="20"/>
          <w:lang w:val="en-GB" w:eastAsia="de-DE"/>
        </w:rPr>
      </w:pPr>
      <w:r w:rsidRPr="001C6849">
        <w:rPr>
          <w:sz w:val="20"/>
          <w:szCs w:val="20"/>
          <w:lang w:val="en-GB" w:eastAsia="de-DE"/>
        </w:rPr>
        <w:t xml:space="preserve">Nyborg &amp; </w:t>
      </w:r>
      <w:r w:rsidRPr="001C6849">
        <w:rPr>
          <w:sz w:val="20"/>
          <w:szCs w:val="20"/>
          <w:lang w:val="en-GB"/>
        </w:rPr>
        <w:t>Rørdam</w:t>
      </w:r>
      <w:r w:rsidRPr="001C6849">
        <w:rPr>
          <w:sz w:val="20"/>
          <w:szCs w:val="20"/>
          <w:lang w:val="en-GB" w:eastAsia="de-DE"/>
        </w:rPr>
        <w:t>, Copenhagen, Denmark</w:t>
      </w:r>
    </w:p>
    <w:p w14:paraId="486558B7" w14:textId="619BB818" w:rsidR="004B7D2D" w:rsidRPr="001C6849" w:rsidRDefault="003051D9" w:rsidP="001C6849">
      <w:pPr>
        <w:pStyle w:val="Listenabsatz"/>
        <w:numPr>
          <w:ilvl w:val="0"/>
          <w:numId w:val="3"/>
        </w:numPr>
        <w:rPr>
          <w:sz w:val="20"/>
          <w:szCs w:val="20"/>
          <w:lang w:val="pt-BR" w:eastAsia="de-DE"/>
        </w:rPr>
      </w:pPr>
      <w:r w:rsidRPr="001C6849">
        <w:rPr>
          <w:sz w:val="20"/>
          <w:szCs w:val="20"/>
          <w:lang w:val="pt-BR" w:eastAsia="de-DE"/>
        </w:rPr>
        <w:t xml:space="preserve">PNST </w:t>
      </w:r>
      <w:r w:rsidR="004B7D2D" w:rsidRPr="001C6849">
        <w:rPr>
          <w:sz w:val="20"/>
          <w:szCs w:val="20"/>
          <w:lang w:val="pt-BR" w:eastAsia="de-DE"/>
        </w:rPr>
        <w:t>Pacheco Neto Sanden Teisseire, Sao Paulo, Brazil</w:t>
      </w:r>
    </w:p>
    <w:p w14:paraId="44246769" w14:textId="77777777" w:rsidR="004B7D2D" w:rsidRPr="001C6849" w:rsidRDefault="004B7D2D" w:rsidP="001C6849">
      <w:pPr>
        <w:pStyle w:val="Listenabsatz"/>
        <w:numPr>
          <w:ilvl w:val="0"/>
          <w:numId w:val="3"/>
        </w:numPr>
        <w:rPr>
          <w:sz w:val="20"/>
          <w:szCs w:val="20"/>
          <w:lang w:val="fr-FR" w:eastAsia="de-DE"/>
        </w:rPr>
      </w:pPr>
      <w:r w:rsidRPr="001C6849">
        <w:rPr>
          <w:sz w:val="20"/>
          <w:szCs w:val="20"/>
          <w:lang w:val="fr-FR" w:eastAsia="de-DE"/>
        </w:rPr>
        <w:t>Saône Rhône, Cabinet Juridique, Lyon, France</w:t>
      </w:r>
    </w:p>
    <w:p w14:paraId="460A6226" w14:textId="34F10DD1" w:rsidR="004B7D2D" w:rsidRDefault="004B7D2D" w:rsidP="007E1246">
      <w:pPr>
        <w:pStyle w:val="Listenabsatz"/>
        <w:numPr>
          <w:ilvl w:val="0"/>
          <w:numId w:val="3"/>
        </w:numPr>
        <w:tabs>
          <w:tab w:val="clear" w:pos="360"/>
        </w:tabs>
        <w:spacing w:line="240" w:lineRule="auto"/>
        <w:rPr>
          <w:sz w:val="20"/>
          <w:szCs w:val="20"/>
          <w:lang w:val="en-GB" w:eastAsia="de-DE"/>
        </w:rPr>
      </w:pPr>
      <w:proofErr w:type="spellStart"/>
      <w:r w:rsidRPr="001C6849">
        <w:rPr>
          <w:sz w:val="20"/>
          <w:szCs w:val="20"/>
          <w:lang w:val="en-GB" w:eastAsia="de-DE"/>
        </w:rPr>
        <w:t>Yamaner</w:t>
      </w:r>
      <w:proofErr w:type="spellEnd"/>
      <w:r w:rsidRPr="001C6849">
        <w:rPr>
          <w:sz w:val="20"/>
          <w:szCs w:val="20"/>
          <w:lang w:val="en-GB" w:eastAsia="de-DE"/>
        </w:rPr>
        <w:t xml:space="preserve"> &amp; </w:t>
      </w:r>
      <w:proofErr w:type="spellStart"/>
      <w:r w:rsidRPr="001C6849">
        <w:rPr>
          <w:sz w:val="20"/>
          <w:szCs w:val="20"/>
          <w:lang w:val="en-GB" w:eastAsia="de-DE"/>
        </w:rPr>
        <w:t>Yamaner</w:t>
      </w:r>
      <w:proofErr w:type="spellEnd"/>
      <w:r w:rsidRPr="001C6849">
        <w:rPr>
          <w:sz w:val="20"/>
          <w:szCs w:val="20"/>
          <w:lang w:val="en-GB" w:eastAsia="de-DE"/>
        </w:rPr>
        <w:t>, Istanbul, Turkey</w:t>
      </w:r>
      <w:bookmarkEnd w:id="1"/>
    </w:p>
    <w:p w14:paraId="434EA68E" w14:textId="77777777" w:rsidR="007E1246" w:rsidRPr="007E1246" w:rsidRDefault="007E1246" w:rsidP="007E1246">
      <w:pPr>
        <w:spacing w:line="240" w:lineRule="auto"/>
        <w:ind w:left="0"/>
        <w:rPr>
          <w:lang w:val="en-GB" w:eastAsia="de-DE"/>
        </w:rPr>
      </w:pPr>
    </w:p>
    <w:p w14:paraId="7898B54D" w14:textId="7C5CF663" w:rsidR="004A5995" w:rsidRPr="00773C5B" w:rsidRDefault="001C6849" w:rsidP="004F001E">
      <w:pPr>
        <w:spacing w:line="240" w:lineRule="auto"/>
        <w:ind w:left="0"/>
        <w:contextualSpacing w:val="0"/>
        <w:rPr>
          <w:rFonts w:ascii="Arial Narrow" w:eastAsia="ArialMT" w:hAnsi="Arial Narrow" w:cs="Arial"/>
          <w:bCs w:val="0"/>
          <w:color w:val="D09A00"/>
          <w:sz w:val="28"/>
          <w:szCs w:val="28"/>
          <w:lang w:val="en-GB" w:eastAsia="de-DE"/>
        </w:rPr>
      </w:pPr>
      <w:r w:rsidRPr="001C6849">
        <w:rPr>
          <w:rFonts w:ascii="Arial Narrow" w:eastAsia="ArialMT" w:hAnsi="Arial Narrow" w:cs="Arial"/>
          <w:bCs w:val="0"/>
          <w:color w:val="D09A00"/>
          <w:sz w:val="28"/>
          <w:szCs w:val="28"/>
          <w:lang w:val="en-GB" w:eastAsia="de-DE"/>
        </w:rPr>
        <w:t>Imprint</w:t>
      </w:r>
    </w:p>
    <w:tbl>
      <w:tblPr>
        <w:tblStyle w:val="Tabellenraster"/>
        <w:tblW w:w="8642" w:type="dxa"/>
        <w:tblLook w:val="04A0" w:firstRow="1" w:lastRow="0" w:firstColumn="1" w:lastColumn="0" w:noHBand="0" w:noVBand="1"/>
      </w:tblPr>
      <w:tblGrid>
        <w:gridCol w:w="4390"/>
        <w:gridCol w:w="4252"/>
      </w:tblGrid>
      <w:tr w:rsidR="00CA053C" w:rsidRPr="0095309A" w14:paraId="32A3758B" w14:textId="37A31D34" w:rsidTr="004A5995">
        <w:trPr>
          <w:trHeight w:val="4310"/>
        </w:trPr>
        <w:tc>
          <w:tcPr>
            <w:tcW w:w="4390" w:type="dxa"/>
          </w:tcPr>
          <w:p w14:paraId="2735A9D7" w14:textId="280452F8" w:rsidR="00CA053C" w:rsidRPr="0095309A" w:rsidRDefault="00CA053C" w:rsidP="000E4F21">
            <w:pPr>
              <w:pStyle w:val="Textbody"/>
              <w:spacing w:line="240" w:lineRule="auto"/>
              <w:ind w:left="28"/>
              <w:jc w:val="left"/>
            </w:pPr>
            <w:bookmarkStart w:id="2" w:name="_Hlk185326959"/>
            <w:r w:rsidRPr="0095309A">
              <w:t>Contributed by / Authors</w:t>
            </w:r>
          </w:p>
          <w:p w14:paraId="27E62022" w14:textId="77777777" w:rsidR="00CA053C" w:rsidRPr="001C6849" w:rsidRDefault="00CA053C" w:rsidP="000E4F21">
            <w:pPr>
              <w:pStyle w:val="Textbody"/>
              <w:spacing w:line="240" w:lineRule="auto"/>
              <w:ind w:left="28"/>
              <w:jc w:val="left"/>
            </w:pPr>
          </w:p>
          <w:p w14:paraId="4C5DD698" w14:textId="77777777" w:rsidR="00B906CA" w:rsidRPr="00D93452" w:rsidRDefault="00B906CA" w:rsidP="00B906CA">
            <w:pPr>
              <w:pStyle w:val="Textbody"/>
              <w:ind w:left="28"/>
              <w:jc w:val="left"/>
              <w:rPr>
                <w:i w:val="0"/>
                <w:lang w:val="en-GB"/>
              </w:rPr>
            </w:pPr>
            <w:r w:rsidRPr="00D93452">
              <w:rPr>
                <w:i w:val="0"/>
                <w:lang w:val="en-GB"/>
              </w:rPr>
              <w:t xml:space="preserve">Marc Font </w:t>
            </w:r>
            <w:proofErr w:type="spellStart"/>
            <w:r w:rsidRPr="00D93452">
              <w:rPr>
                <w:i w:val="0"/>
                <w:lang w:val="en-GB"/>
              </w:rPr>
              <w:t>Falgàs</w:t>
            </w:r>
            <w:proofErr w:type="spellEnd"/>
          </w:p>
          <w:p w14:paraId="2F0F1BCA" w14:textId="7B865A85" w:rsidR="00CA053C" w:rsidRPr="00B906CA" w:rsidRDefault="00B906CA" w:rsidP="000E4F21">
            <w:pPr>
              <w:pStyle w:val="Textbody"/>
              <w:spacing w:line="240" w:lineRule="auto"/>
              <w:ind w:left="28"/>
              <w:jc w:val="left"/>
              <w:rPr>
                <w:i w:val="0"/>
                <w:iCs/>
              </w:rPr>
            </w:pPr>
            <w:r w:rsidRPr="00B906CA">
              <w:rPr>
                <w:b/>
                <w:bCs w:val="0"/>
                <w:i w:val="0"/>
                <w:iCs/>
              </w:rPr>
              <w:t>4|5|3 Law Firm</w:t>
            </w:r>
            <w:r w:rsidRPr="00B906CA">
              <w:rPr>
                <w:i w:val="0"/>
                <w:iCs/>
              </w:rPr>
              <w:t xml:space="preserve"> </w:t>
            </w:r>
            <w:r w:rsidR="00CA053C" w:rsidRPr="00B906CA">
              <w:rPr>
                <w:i w:val="0"/>
                <w:iCs/>
              </w:rPr>
              <w:br/>
            </w:r>
            <w:r w:rsidRPr="00B906CA">
              <w:rPr>
                <w:i w:val="0"/>
                <w:iCs/>
              </w:rPr>
              <w:t>Barcelona</w:t>
            </w:r>
          </w:p>
          <w:p w14:paraId="2D179787" w14:textId="3E9AA326" w:rsidR="00B906CA" w:rsidRPr="00B906CA" w:rsidRDefault="00B906CA" w:rsidP="000E4F21">
            <w:pPr>
              <w:pStyle w:val="Textbody"/>
              <w:spacing w:line="240" w:lineRule="auto"/>
              <w:ind w:left="28"/>
              <w:jc w:val="left"/>
              <w:rPr>
                <w:i w:val="0"/>
                <w:iCs/>
              </w:rPr>
            </w:pPr>
            <w:hyperlink r:id="rId9" w:history="1">
              <w:r w:rsidRPr="00B906CA">
                <w:rPr>
                  <w:rStyle w:val="Hyperlink"/>
                  <w:i w:val="0"/>
                  <w:iCs/>
                </w:rPr>
                <w:t>www.453legal.com</w:t>
              </w:r>
            </w:hyperlink>
          </w:p>
          <w:p w14:paraId="5AA5F999" w14:textId="77777777" w:rsidR="00B906CA" w:rsidRPr="00B906CA" w:rsidRDefault="00B906CA" w:rsidP="000E4F21">
            <w:pPr>
              <w:pStyle w:val="Textbody"/>
              <w:spacing w:line="240" w:lineRule="auto"/>
              <w:ind w:left="28"/>
              <w:jc w:val="left"/>
              <w:rPr>
                <w:i w:val="0"/>
                <w:iCs/>
              </w:rPr>
            </w:pPr>
          </w:p>
          <w:p w14:paraId="0EDE2869" w14:textId="77777777" w:rsidR="00CA053C" w:rsidRPr="001C6849" w:rsidRDefault="00CA053C" w:rsidP="000E4F21">
            <w:pPr>
              <w:pStyle w:val="Textbody"/>
              <w:spacing w:line="240" w:lineRule="auto"/>
              <w:ind w:left="28"/>
              <w:jc w:val="left"/>
              <w:rPr>
                <w:i w:val="0"/>
                <w:iCs/>
                <w:highlight w:val="yellow"/>
              </w:rPr>
            </w:pPr>
          </w:p>
          <w:p w14:paraId="27B76192" w14:textId="77777777" w:rsidR="00357833" w:rsidRDefault="00357833" w:rsidP="000E4F21">
            <w:pPr>
              <w:pStyle w:val="Textbody"/>
              <w:spacing w:line="240" w:lineRule="auto"/>
              <w:ind w:left="28"/>
              <w:jc w:val="left"/>
            </w:pPr>
          </w:p>
          <w:p w14:paraId="7B07FE4A" w14:textId="77777777" w:rsidR="00773FA3" w:rsidRDefault="00773FA3" w:rsidP="00773C5B">
            <w:pPr>
              <w:pStyle w:val="Textbody"/>
              <w:spacing w:line="240" w:lineRule="auto"/>
              <w:ind w:left="0"/>
              <w:jc w:val="left"/>
            </w:pPr>
          </w:p>
          <w:p w14:paraId="05EA7F0E" w14:textId="77777777" w:rsidR="00773FA3" w:rsidRDefault="00773FA3" w:rsidP="00CE2A34">
            <w:pPr>
              <w:pStyle w:val="Textbody"/>
              <w:spacing w:line="240" w:lineRule="auto"/>
              <w:ind w:left="0"/>
              <w:jc w:val="left"/>
            </w:pPr>
          </w:p>
          <w:p w14:paraId="1363AFD0" w14:textId="77777777" w:rsidR="00B906CA" w:rsidRDefault="00B906CA" w:rsidP="00CE2A34">
            <w:pPr>
              <w:pStyle w:val="Textbody"/>
              <w:spacing w:line="240" w:lineRule="auto"/>
              <w:ind w:left="0"/>
              <w:jc w:val="left"/>
            </w:pPr>
          </w:p>
          <w:p w14:paraId="5E0E8CA2" w14:textId="77777777" w:rsidR="00B906CA" w:rsidRDefault="00B906CA" w:rsidP="00CE2A34">
            <w:pPr>
              <w:pStyle w:val="Textbody"/>
              <w:spacing w:line="240" w:lineRule="auto"/>
              <w:ind w:left="0"/>
              <w:jc w:val="left"/>
            </w:pPr>
          </w:p>
          <w:p w14:paraId="075F4AA1" w14:textId="77777777" w:rsidR="00B906CA" w:rsidRPr="0095309A" w:rsidRDefault="00B906CA" w:rsidP="00CE2A34">
            <w:pPr>
              <w:pStyle w:val="Textbody"/>
              <w:spacing w:line="240" w:lineRule="auto"/>
              <w:ind w:left="0"/>
              <w:jc w:val="left"/>
            </w:pPr>
          </w:p>
          <w:p w14:paraId="7E1C65A5" w14:textId="216FA8A5" w:rsidR="00CA053C" w:rsidRPr="0095309A" w:rsidRDefault="00CE2A34" w:rsidP="000E4F21">
            <w:pPr>
              <w:pStyle w:val="Textbody"/>
              <w:spacing w:line="240" w:lineRule="auto"/>
              <w:ind w:left="28"/>
              <w:jc w:val="left"/>
              <w:rPr>
                <w:lang w:bidi="ar-SA"/>
              </w:rPr>
            </w:pPr>
            <w:r w:rsidRPr="00CE2A34">
              <w:rPr>
                <w:i w:val="0"/>
                <w:iCs/>
              </w:rPr>
              <w:t xml:space="preserve">All </w:t>
            </w:r>
            <w:proofErr w:type="gramStart"/>
            <w:r w:rsidRPr="00CE2A34">
              <w:rPr>
                <w:i w:val="0"/>
                <w:iCs/>
              </w:rPr>
              <w:t>information</w:t>
            </w:r>
            <w:proofErr w:type="gramEnd"/>
            <w:r w:rsidRPr="00CE2A34">
              <w:rPr>
                <w:i w:val="0"/>
                <w:iCs/>
              </w:rPr>
              <w:t xml:space="preserve"> in this publication is provided to the best of our knowledge and does not constitute legal advice. Neither </w:t>
            </w:r>
            <w:proofErr w:type="spellStart"/>
            <w:r w:rsidRPr="00CE2A34">
              <w:rPr>
                <w:i w:val="0"/>
                <w:iCs/>
              </w:rPr>
              <w:t>Alliuris</w:t>
            </w:r>
            <w:proofErr w:type="spellEnd"/>
            <w:r w:rsidRPr="00CE2A34">
              <w:rPr>
                <w:i w:val="0"/>
                <w:iCs/>
              </w:rPr>
              <w:t xml:space="preserve"> </w:t>
            </w:r>
            <w:r w:rsidRPr="00B906CA">
              <w:rPr>
                <w:i w:val="0"/>
                <w:iCs/>
              </w:rPr>
              <w:t xml:space="preserve">nor </w:t>
            </w:r>
            <w:r w:rsidR="00B906CA" w:rsidRPr="00B906CA">
              <w:rPr>
                <w:i w:val="0"/>
                <w:iCs/>
              </w:rPr>
              <w:t xml:space="preserve">4|5|3 Law Firm </w:t>
            </w:r>
            <w:r w:rsidRPr="00CE2A34">
              <w:rPr>
                <w:i w:val="0"/>
                <w:iCs/>
              </w:rPr>
              <w:t xml:space="preserve">assume any liability for the provided information, except in cases of intent or gross negligence. Reproduction, including excerpts, requires prior permission from the </w:t>
            </w:r>
            <w:proofErr w:type="gramStart"/>
            <w:r w:rsidRPr="00CE2A34">
              <w:rPr>
                <w:i w:val="0"/>
                <w:iCs/>
              </w:rPr>
              <w:t>editors.</w:t>
            </w:r>
            <w:r w:rsidR="00D0788F" w:rsidRPr="009E7B82">
              <w:rPr>
                <w:i w:val="0"/>
                <w:iCs/>
              </w:rPr>
              <w:t>.</w:t>
            </w:r>
            <w:proofErr w:type="gramEnd"/>
          </w:p>
        </w:tc>
        <w:tc>
          <w:tcPr>
            <w:tcW w:w="4252" w:type="dxa"/>
          </w:tcPr>
          <w:p w14:paraId="6165ABB8" w14:textId="6EC0EE0F" w:rsidR="00CA053C" w:rsidRPr="0095309A" w:rsidRDefault="00CA053C" w:rsidP="000E4F21">
            <w:pPr>
              <w:pStyle w:val="Textbody"/>
              <w:spacing w:line="264" w:lineRule="auto"/>
              <w:ind w:hanging="720"/>
              <w:jc w:val="left"/>
            </w:pPr>
            <w:r w:rsidRPr="0095309A">
              <w:t xml:space="preserve">Published by </w:t>
            </w:r>
          </w:p>
          <w:p w14:paraId="14799713" w14:textId="77777777" w:rsidR="00CA053C" w:rsidRPr="0095309A" w:rsidRDefault="00CA053C" w:rsidP="000E4F21">
            <w:pPr>
              <w:pStyle w:val="Textbody"/>
              <w:spacing w:line="264" w:lineRule="auto"/>
              <w:ind w:hanging="720"/>
              <w:jc w:val="left"/>
            </w:pPr>
          </w:p>
          <w:p w14:paraId="17A57697" w14:textId="77777777" w:rsidR="00CA053C" w:rsidRPr="001C6849" w:rsidRDefault="00CA053C" w:rsidP="000E4F21">
            <w:pPr>
              <w:pStyle w:val="Textbody"/>
              <w:spacing w:line="264" w:lineRule="auto"/>
              <w:ind w:hanging="720"/>
              <w:jc w:val="left"/>
              <w:rPr>
                <w:i w:val="0"/>
                <w:iCs/>
              </w:rPr>
            </w:pPr>
            <w:r w:rsidRPr="001C6849">
              <w:rPr>
                <w:i w:val="0"/>
                <w:iCs/>
              </w:rPr>
              <w:t>ALLIURIS A.S.B.L.</w:t>
            </w:r>
          </w:p>
          <w:p w14:paraId="41C34BA8" w14:textId="77777777" w:rsidR="00CA053C" w:rsidRPr="001C6849" w:rsidRDefault="00CA053C" w:rsidP="000E4F21">
            <w:pPr>
              <w:pStyle w:val="Textbody"/>
              <w:spacing w:line="264" w:lineRule="auto"/>
              <w:ind w:hanging="720"/>
              <w:jc w:val="left"/>
              <w:rPr>
                <w:i w:val="0"/>
                <w:iCs/>
              </w:rPr>
            </w:pPr>
            <w:r w:rsidRPr="001C6849">
              <w:rPr>
                <w:i w:val="0"/>
                <w:iCs/>
              </w:rPr>
              <w:t>Alliance of International Business Lawyers</w:t>
            </w:r>
          </w:p>
          <w:p w14:paraId="7C3A4CD6" w14:textId="77777777" w:rsidR="00CA053C" w:rsidRPr="001C6849" w:rsidRDefault="00CA053C" w:rsidP="000E4F21">
            <w:pPr>
              <w:pStyle w:val="Textbody"/>
              <w:spacing w:line="264" w:lineRule="auto"/>
              <w:ind w:hanging="720"/>
              <w:jc w:val="left"/>
              <w:rPr>
                <w:i w:val="0"/>
                <w:iCs/>
              </w:rPr>
            </w:pPr>
            <w:r w:rsidRPr="001C6849">
              <w:rPr>
                <w:i w:val="0"/>
                <w:iCs/>
              </w:rPr>
              <w:t>Avenue des Arts 56,</w:t>
            </w:r>
          </w:p>
          <w:p w14:paraId="63A2A1A8" w14:textId="77777777" w:rsidR="00CA053C" w:rsidRPr="001C6849" w:rsidRDefault="00CA053C" w:rsidP="000E4F21">
            <w:pPr>
              <w:pStyle w:val="Textbody"/>
              <w:spacing w:line="264" w:lineRule="auto"/>
              <w:ind w:hanging="720"/>
              <w:jc w:val="left"/>
              <w:rPr>
                <w:i w:val="0"/>
                <w:iCs/>
              </w:rPr>
            </w:pPr>
            <w:r w:rsidRPr="001C6849">
              <w:rPr>
                <w:i w:val="0"/>
                <w:iCs/>
              </w:rPr>
              <w:t>B-1000 Brussels / Belgium</w:t>
            </w:r>
          </w:p>
          <w:p w14:paraId="712083DE" w14:textId="77777777" w:rsidR="00CA053C" w:rsidRPr="0095309A" w:rsidRDefault="00CA053C" w:rsidP="000E4F21">
            <w:pPr>
              <w:pStyle w:val="Textbody"/>
              <w:spacing w:line="264" w:lineRule="auto"/>
              <w:ind w:hanging="720"/>
              <w:jc w:val="left"/>
            </w:pPr>
          </w:p>
          <w:p w14:paraId="076FD3B0" w14:textId="77777777" w:rsidR="00CA053C" w:rsidRPr="0095309A" w:rsidRDefault="00CA053C" w:rsidP="000E4F21">
            <w:pPr>
              <w:pStyle w:val="Textbody"/>
              <w:spacing w:line="264" w:lineRule="auto"/>
              <w:ind w:hanging="720"/>
              <w:jc w:val="left"/>
            </w:pPr>
            <w:r w:rsidRPr="0095309A">
              <w:t>Editors</w:t>
            </w:r>
          </w:p>
          <w:p w14:paraId="17A8C6B3" w14:textId="77777777" w:rsidR="00CA053C" w:rsidRPr="001C6849" w:rsidRDefault="00CA053C" w:rsidP="000E4F21">
            <w:pPr>
              <w:pStyle w:val="Textbody"/>
              <w:spacing w:line="264" w:lineRule="auto"/>
              <w:ind w:hanging="720"/>
              <w:jc w:val="left"/>
              <w:rPr>
                <w:i w:val="0"/>
                <w:iCs/>
              </w:rPr>
            </w:pPr>
            <w:r w:rsidRPr="001C6849">
              <w:rPr>
                <w:i w:val="0"/>
                <w:iCs/>
              </w:rPr>
              <w:t>Chief editor (responsible): Ulrich Herfurth</w:t>
            </w:r>
          </w:p>
          <w:p w14:paraId="5168EAE8" w14:textId="77777777" w:rsidR="00236A88" w:rsidRPr="0095309A" w:rsidRDefault="00236A88" w:rsidP="000E4F21">
            <w:pPr>
              <w:pStyle w:val="Textbody"/>
              <w:spacing w:line="264" w:lineRule="auto"/>
              <w:ind w:hanging="720"/>
              <w:jc w:val="left"/>
            </w:pPr>
          </w:p>
          <w:p w14:paraId="40DB848A" w14:textId="39356B7A" w:rsidR="00CA053C" w:rsidRPr="000C2686" w:rsidRDefault="00CA053C" w:rsidP="000E4F21">
            <w:pPr>
              <w:pStyle w:val="Textbody"/>
              <w:spacing w:line="264" w:lineRule="auto"/>
              <w:ind w:hanging="720"/>
              <w:jc w:val="left"/>
              <w:rPr>
                <w:lang w:val="fr-FR"/>
              </w:rPr>
            </w:pPr>
            <w:r w:rsidRPr="000C2686">
              <w:rPr>
                <w:lang w:val="fr-FR"/>
              </w:rPr>
              <w:t>Management</w:t>
            </w:r>
          </w:p>
          <w:p w14:paraId="40786EDC" w14:textId="77777777" w:rsidR="00CA053C" w:rsidRPr="000C2686" w:rsidRDefault="00CA053C" w:rsidP="000E4F21">
            <w:pPr>
              <w:pStyle w:val="Textbody"/>
              <w:spacing w:line="264" w:lineRule="auto"/>
              <w:ind w:hanging="720"/>
              <w:jc w:val="left"/>
              <w:rPr>
                <w:i w:val="0"/>
                <w:iCs/>
                <w:lang w:val="fr-FR"/>
              </w:rPr>
            </w:pPr>
            <w:r w:rsidRPr="000C2686">
              <w:rPr>
                <w:i w:val="0"/>
                <w:iCs/>
                <w:lang w:val="fr-FR"/>
              </w:rPr>
              <w:t>ALLIURIS A.S.B.L.</w:t>
            </w:r>
          </w:p>
          <w:p w14:paraId="6741C7C2" w14:textId="77777777" w:rsidR="00CA053C" w:rsidRPr="009E7B82" w:rsidRDefault="00CA053C" w:rsidP="000E4F21">
            <w:pPr>
              <w:pStyle w:val="Textbody"/>
              <w:spacing w:line="264" w:lineRule="auto"/>
              <w:ind w:hanging="720"/>
              <w:jc w:val="left"/>
              <w:rPr>
                <w:i w:val="0"/>
                <w:iCs/>
              </w:rPr>
            </w:pPr>
            <w:proofErr w:type="spellStart"/>
            <w:r w:rsidRPr="000C2686">
              <w:rPr>
                <w:i w:val="0"/>
                <w:iCs/>
                <w:lang w:val="fr-FR"/>
              </w:rPr>
              <w:t>Luisenstr</w:t>
            </w:r>
            <w:proofErr w:type="spellEnd"/>
            <w:r w:rsidRPr="000C2686">
              <w:rPr>
                <w:i w:val="0"/>
                <w:iCs/>
                <w:lang w:val="fr-FR"/>
              </w:rPr>
              <w:t xml:space="preserve">. </w:t>
            </w:r>
            <w:r w:rsidRPr="009E7B82">
              <w:rPr>
                <w:i w:val="0"/>
                <w:iCs/>
              </w:rPr>
              <w:t>5</w:t>
            </w:r>
          </w:p>
          <w:p w14:paraId="61995583" w14:textId="77777777" w:rsidR="00CA053C" w:rsidRPr="009E7B82" w:rsidRDefault="00CA053C" w:rsidP="000E4F21">
            <w:pPr>
              <w:pStyle w:val="Textbody"/>
              <w:spacing w:line="264" w:lineRule="auto"/>
              <w:ind w:hanging="720"/>
              <w:jc w:val="left"/>
              <w:rPr>
                <w:i w:val="0"/>
                <w:iCs/>
              </w:rPr>
            </w:pPr>
            <w:r w:rsidRPr="009E7B82">
              <w:rPr>
                <w:i w:val="0"/>
                <w:iCs/>
              </w:rPr>
              <w:t>D-30159 Hannover</w:t>
            </w:r>
          </w:p>
          <w:p w14:paraId="083F7A6A" w14:textId="77777777" w:rsidR="00CA053C" w:rsidRPr="009E7B82" w:rsidRDefault="00CA053C" w:rsidP="000E4F21">
            <w:pPr>
              <w:pStyle w:val="Textbody"/>
              <w:spacing w:line="264" w:lineRule="auto"/>
              <w:ind w:hanging="720"/>
              <w:jc w:val="left"/>
              <w:rPr>
                <w:i w:val="0"/>
                <w:iCs/>
              </w:rPr>
            </w:pPr>
            <w:r w:rsidRPr="009E7B82">
              <w:rPr>
                <w:i w:val="0"/>
                <w:iCs/>
              </w:rPr>
              <w:t>Fon ++49 511 30756-0</w:t>
            </w:r>
          </w:p>
          <w:p w14:paraId="0647D9E7" w14:textId="77777777" w:rsidR="00CA053C" w:rsidRPr="009E7B82" w:rsidRDefault="00CA053C" w:rsidP="000E4F21">
            <w:pPr>
              <w:pStyle w:val="Textbody"/>
              <w:spacing w:line="264" w:lineRule="auto"/>
              <w:ind w:hanging="720"/>
              <w:jc w:val="left"/>
              <w:rPr>
                <w:i w:val="0"/>
                <w:iCs/>
              </w:rPr>
            </w:pPr>
            <w:proofErr w:type="gramStart"/>
            <w:r w:rsidRPr="009E7B82">
              <w:rPr>
                <w:i w:val="0"/>
                <w:iCs/>
              </w:rPr>
              <w:t>Fax  +</w:t>
            </w:r>
            <w:proofErr w:type="gramEnd"/>
            <w:r w:rsidRPr="009E7B82">
              <w:rPr>
                <w:i w:val="0"/>
                <w:iCs/>
              </w:rPr>
              <w:t>+49 511 30756-10</w:t>
            </w:r>
          </w:p>
          <w:p w14:paraId="0D7F1889" w14:textId="77777777" w:rsidR="00CA053C" w:rsidRPr="009E7B82" w:rsidRDefault="00CA053C" w:rsidP="000E4F21">
            <w:pPr>
              <w:pStyle w:val="Textbody"/>
              <w:spacing w:line="264" w:lineRule="auto"/>
              <w:ind w:hanging="720"/>
              <w:jc w:val="left"/>
              <w:rPr>
                <w:rStyle w:val="Hyperlink"/>
                <w:i w:val="0"/>
                <w:iCs/>
                <w:color w:val="404040"/>
                <w:u w:val="none"/>
              </w:rPr>
            </w:pPr>
            <w:r w:rsidRPr="009E7B82">
              <w:rPr>
                <w:i w:val="0"/>
                <w:iCs/>
              </w:rPr>
              <w:t xml:space="preserve">Mail </w:t>
            </w:r>
            <w:hyperlink r:id="rId10" w:history="1">
              <w:r w:rsidRPr="009E7B82">
                <w:rPr>
                  <w:rStyle w:val="Hyperlink"/>
                  <w:i w:val="0"/>
                  <w:iCs/>
                  <w:color w:val="404040"/>
                  <w:u w:val="none"/>
                </w:rPr>
                <w:t>info@alliuris.org</w:t>
              </w:r>
            </w:hyperlink>
          </w:p>
          <w:p w14:paraId="07A43500" w14:textId="3729B7EB" w:rsidR="00CA053C" w:rsidRPr="0095309A" w:rsidRDefault="00CA053C" w:rsidP="000E4F21">
            <w:pPr>
              <w:pStyle w:val="Textbody"/>
              <w:spacing w:line="264" w:lineRule="auto"/>
              <w:ind w:hanging="720"/>
              <w:jc w:val="left"/>
            </w:pPr>
            <w:r w:rsidRPr="009E7B82">
              <w:rPr>
                <w:i w:val="0"/>
                <w:iCs/>
              </w:rPr>
              <w:t xml:space="preserve">Web </w:t>
            </w:r>
            <w:hyperlink r:id="rId11" w:history="1">
              <w:r w:rsidRPr="009E7B82">
                <w:rPr>
                  <w:rStyle w:val="Hyperlink"/>
                  <w:i w:val="0"/>
                  <w:iCs/>
                  <w:color w:val="404040"/>
                  <w:u w:val="none"/>
                </w:rPr>
                <w:t>www.alliuris.org</w:t>
              </w:r>
            </w:hyperlink>
          </w:p>
        </w:tc>
      </w:tr>
      <w:bookmarkEnd w:id="2"/>
    </w:tbl>
    <w:p w14:paraId="26C2E770" w14:textId="127CEEA8" w:rsidR="00773C5B" w:rsidRPr="00773C5B" w:rsidRDefault="00773C5B" w:rsidP="0036242D">
      <w:pPr>
        <w:tabs>
          <w:tab w:val="left" w:pos="2775"/>
        </w:tabs>
        <w:ind w:left="0"/>
        <w:rPr>
          <w:lang w:val="it-IT"/>
        </w:rPr>
      </w:pPr>
    </w:p>
    <w:sectPr w:rsidR="00773C5B" w:rsidRPr="00773C5B">
      <w:headerReference w:type="default" r:id="rId12"/>
      <w:footerReference w:type="default" r:id="rId13"/>
      <w:headerReference w:type="first" r:id="rId14"/>
      <w:footerReference w:type="first" r:id="rId15"/>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B36F1" w14:textId="6E97E1DF" w:rsidR="00CA2AB4" w:rsidRDefault="00AE6C0C" w:rsidP="001C6849">
      <w:r>
        <w:separator/>
      </w:r>
    </w:p>
    <w:p w14:paraId="608B1D25" w14:textId="77777777" w:rsidR="00752263" w:rsidRDefault="00752263" w:rsidP="001C6849"/>
    <w:p w14:paraId="386F3A60" w14:textId="77777777" w:rsidR="00351121" w:rsidRDefault="00351121"/>
    <w:p w14:paraId="32ADE17E" w14:textId="77777777" w:rsidR="00351121" w:rsidRDefault="00351121" w:rsidP="00B1699E"/>
  </w:endnote>
  <w:endnote w:type="continuationSeparator" w:id="0">
    <w:p w14:paraId="11EDEE15" w14:textId="4C9B4662" w:rsidR="00CA2AB4" w:rsidRDefault="00AE6C0C" w:rsidP="001C6849">
      <w:r>
        <w:continuationSeparator/>
      </w:r>
    </w:p>
    <w:p w14:paraId="035E0ABF" w14:textId="77777777" w:rsidR="00752263" w:rsidRDefault="00752263" w:rsidP="001C6849"/>
    <w:p w14:paraId="4B4725C6" w14:textId="77777777" w:rsidR="00351121" w:rsidRDefault="00351121"/>
    <w:p w14:paraId="431E3869" w14:textId="77777777" w:rsidR="00351121" w:rsidRDefault="00351121" w:rsidP="00B16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等线">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charset w:val="00"/>
    <w:family w:val="roman"/>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804588"/>
      <w:docPartObj>
        <w:docPartGallery w:val="Page Numbers (Bottom of Page)"/>
        <w:docPartUnique/>
      </w:docPartObj>
    </w:sdtPr>
    <w:sdtEndPr/>
    <w:sdtContent>
      <w:p w14:paraId="25954905" w14:textId="6C6E72C3" w:rsidR="006256CD" w:rsidRDefault="006256CD">
        <w:pPr>
          <w:pStyle w:val="Fuzeile"/>
          <w:jc w:val="center"/>
        </w:pPr>
        <w:r>
          <w:fldChar w:fldCharType="begin"/>
        </w:r>
        <w:r>
          <w:instrText>PAGE   \* MERGEFORMAT</w:instrText>
        </w:r>
        <w:r>
          <w:fldChar w:fldCharType="separate"/>
        </w:r>
        <w:r>
          <w:rPr>
            <w:lang w:val="de-DE"/>
          </w:rPr>
          <w:t>2</w:t>
        </w:r>
        <w:r>
          <w:fldChar w:fldCharType="end"/>
        </w:r>
      </w:p>
    </w:sdtContent>
  </w:sdt>
  <w:p w14:paraId="704E5EF8" w14:textId="77777777" w:rsidR="00752263" w:rsidRDefault="00752263" w:rsidP="001C6849"/>
  <w:p w14:paraId="1A631AA8" w14:textId="77777777" w:rsidR="00351121" w:rsidRDefault="00351121"/>
  <w:p w14:paraId="7DCCB042" w14:textId="77777777" w:rsidR="00351121" w:rsidRDefault="00351121" w:rsidP="00B169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487254"/>
      <w:docPartObj>
        <w:docPartGallery w:val="Page Numbers (Bottom of Page)"/>
        <w:docPartUnique/>
      </w:docPartObj>
    </w:sdtPr>
    <w:sdtEndPr/>
    <w:sdtContent>
      <w:p w14:paraId="6A0A3348" w14:textId="479EA8BB" w:rsidR="006256CD" w:rsidRDefault="006256CD">
        <w:pPr>
          <w:pStyle w:val="Fuzeile"/>
          <w:jc w:val="center"/>
        </w:pPr>
        <w:r>
          <w:fldChar w:fldCharType="begin"/>
        </w:r>
        <w:r>
          <w:instrText>PAGE   \* MERGEFORMAT</w:instrText>
        </w:r>
        <w:r>
          <w:fldChar w:fldCharType="separate"/>
        </w:r>
        <w:r>
          <w:rPr>
            <w:lang w:val="de-DE"/>
          </w:rPr>
          <w:t>2</w:t>
        </w:r>
        <w:r>
          <w:fldChar w:fldCharType="end"/>
        </w:r>
      </w:p>
    </w:sdtContent>
  </w:sdt>
  <w:p w14:paraId="61F98D1B" w14:textId="77777777" w:rsidR="000C2686" w:rsidRDefault="000C2686">
    <w:pPr>
      <w:pStyle w:val="Fuzeile"/>
    </w:pPr>
  </w:p>
  <w:p w14:paraId="28F61EED" w14:textId="77777777" w:rsidR="00351121" w:rsidRDefault="00351121"/>
  <w:p w14:paraId="215ECD95" w14:textId="77777777" w:rsidR="00351121" w:rsidRDefault="00351121" w:rsidP="00B169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40550" w14:textId="77777777" w:rsidR="00CA2AB4" w:rsidRDefault="00AE6C0C" w:rsidP="001C6849">
      <w:r>
        <w:separator/>
      </w:r>
    </w:p>
    <w:p w14:paraId="57118505" w14:textId="77777777" w:rsidR="00752263" w:rsidRDefault="00752263" w:rsidP="001C6849"/>
    <w:p w14:paraId="5BF39D21" w14:textId="77777777" w:rsidR="00351121" w:rsidRDefault="00351121"/>
    <w:p w14:paraId="53E95DDC" w14:textId="77777777" w:rsidR="00351121" w:rsidRDefault="00351121" w:rsidP="00B1699E"/>
  </w:footnote>
  <w:footnote w:type="continuationSeparator" w:id="0">
    <w:p w14:paraId="11E61A7B" w14:textId="16A09F64" w:rsidR="00CA2AB4" w:rsidRDefault="00AE6C0C" w:rsidP="001C6849">
      <w:r>
        <w:continuationSeparator/>
      </w:r>
    </w:p>
    <w:p w14:paraId="56C101D0" w14:textId="77777777" w:rsidR="00752263" w:rsidRDefault="00752263" w:rsidP="001C6849"/>
    <w:p w14:paraId="2ACB3E15" w14:textId="77777777" w:rsidR="00351121" w:rsidRDefault="00351121"/>
    <w:p w14:paraId="1BC06C04" w14:textId="77777777" w:rsidR="00351121" w:rsidRDefault="00351121" w:rsidP="00B1699E"/>
  </w:footnote>
  <w:footnote w:id="1">
    <w:p w14:paraId="4FEF2134" w14:textId="41F15FC6" w:rsidR="00225183" w:rsidRPr="00E64582" w:rsidRDefault="00225183" w:rsidP="00E64582">
      <w:pPr>
        <w:pStyle w:val="Funotentext"/>
        <w:spacing w:line="240" w:lineRule="auto"/>
        <w:rPr>
          <w:sz w:val="18"/>
        </w:rPr>
      </w:pPr>
      <w:r w:rsidRPr="00E64582">
        <w:rPr>
          <w:rStyle w:val="Funotenzeichen"/>
          <w:sz w:val="18"/>
        </w:rPr>
        <w:footnoteRef/>
      </w:r>
      <w:r w:rsidRPr="00E64582">
        <w:rPr>
          <w:sz w:val="18"/>
        </w:rPr>
        <w:t xml:space="preserve"> </w:t>
      </w:r>
      <w:r w:rsidRPr="00E64582">
        <w:rPr>
          <w:rFonts w:cstheme="minorHAnsi"/>
          <w:color w:val="000000" w:themeColor="text1"/>
          <w:sz w:val="18"/>
        </w:rPr>
        <w:t>You will not be allowed to withdraw the money you have deposited until the company has been formally incorporated</w:t>
      </w:r>
    </w:p>
  </w:footnote>
  <w:footnote w:id="2">
    <w:p w14:paraId="68B53BA9" w14:textId="495ABE25" w:rsidR="00225183" w:rsidRPr="00225183" w:rsidRDefault="00225183" w:rsidP="00E64582">
      <w:pPr>
        <w:pStyle w:val="Funotentext"/>
        <w:spacing w:line="240" w:lineRule="auto"/>
      </w:pPr>
      <w:r w:rsidRPr="00E64582">
        <w:rPr>
          <w:rStyle w:val="Funotenzeichen"/>
          <w:sz w:val="18"/>
        </w:rPr>
        <w:footnoteRef/>
      </w:r>
      <w:r w:rsidRPr="00E64582">
        <w:rPr>
          <w:sz w:val="18"/>
        </w:rPr>
        <w:t xml:space="preserve"> </w:t>
      </w:r>
      <w:r w:rsidRPr="00E64582">
        <w:rPr>
          <w:rFonts w:cstheme="minorHAnsi"/>
          <w:color w:val="000000" w:themeColor="text1"/>
          <w:sz w:val="18"/>
        </w:rPr>
        <w:t>Please note that it will not be necessary to prove the actual contribution of funds (by providing a bank certificate) in the incorporation of an SL if the founders declare in the deed that they will be jointly and severally liable to the company and its creditors for the actual existence of such contributions. Despite it is not compulsory, the opening of a bank account in the name of the future company is recommendable.</w:t>
      </w:r>
    </w:p>
  </w:footnote>
  <w:footnote w:id="3">
    <w:p w14:paraId="5D8850B6" w14:textId="0CE55B00" w:rsidR="000048FE" w:rsidRPr="00E64582" w:rsidRDefault="000048FE" w:rsidP="00E64582">
      <w:pPr>
        <w:pStyle w:val="Funotentext"/>
        <w:spacing w:line="240" w:lineRule="auto"/>
        <w:rPr>
          <w:sz w:val="18"/>
        </w:rPr>
      </w:pPr>
      <w:r w:rsidRPr="00E64582">
        <w:rPr>
          <w:rStyle w:val="Funotenzeichen"/>
          <w:sz w:val="18"/>
        </w:rPr>
        <w:footnoteRef/>
      </w:r>
      <w:r w:rsidRPr="00E64582">
        <w:rPr>
          <w:sz w:val="18"/>
        </w:rPr>
        <w:t xml:space="preserve"> </w:t>
      </w:r>
      <w:r w:rsidRPr="00E64582">
        <w:rPr>
          <w:rFonts w:cstheme="minorHAnsi"/>
          <w:color w:val="000000" w:themeColor="text1"/>
          <w:sz w:val="18"/>
        </w:rPr>
        <w:t xml:space="preserve">In accordance with Spanish Act of Money Laundering and Terrorism Financing Prevention (Ley 10/2010 de 28 de </w:t>
      </w:r>
      <w:r w:rsidRPr="00E64582">
        <w:rPr>
          <w:rFonts w:cstheme="minorHAnsi"/>
          <w:color w:val="000000" w:themeColor="text1"/>
          <w:sz w:val="18"/>
        </w:rPr>
        <w:t>abril, de prevención del blanqueo de capitales y de la financiación del terrorismo).</w:t>
      </w:r>
    </w:p>
  </w:footnote>
  <w:footnote w:id="4">
    <w:p w14:paraId="01470458" w14:textId="0113C471" w:rsidR="00FD10C5" w:rsidRPr="00E64582" w:rsidRDefault="00FD10C5" w:rsidP="00E64582">
      <w:pPr>
        <w:pStyle w:val="Funotentext"/>
        <w:spacing w:line="240" w:lineRule="auto"/>
        <w:rPr>
          <w:sz w:val="18"/>
        </w:rPr>
      </w:pPr>
      <w:r w:rsidRPr="00E64582">
        <w:rPr>
          <w:rStyle w:val="Funotenzeichen"/>
          <w:sz w:val="18"/>
        </w:rPr>
        <w:footnoteRef/>
      </w:r>
      <w:r w:rsidRPr="00E64582">
        <w:rPr>
          <w:sz w:val="18"/>
        </w:rPr>
        <w:t xml:space="preserve"> </w:t>
      </w:r>
      <w:r w:rsidRPr="00E64582">
        <w:rPr>
          <w:rFonts w:cstheme="minorHAnsi"/>
          <w:color w:val="000000" w:themeColor="text1"/>
          <w:sz w:val="18"/>
        </w:rPr>
        <w:t>As mentioned in the foot note number 2, it will not be necessary to prove the actual contribution of funds (by providing a bank certificate) in the incorporation of an SL if the founders declare in the deed that they will be jointly and severally liable to the company and its creditors for the actual existence of such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96" w:type="dxa"/>
      <w:tblInd w:w="709" w:type="dxa"/>
      <w:tblLayout w:type="fixed"/>
      <w:tblCellMar>
        <w:left w:w="10" w:type="dxa"/>
        <w:right w:w="10" w:type="dxa"/>
      </w:tblCellMar>
      <w:tblLook w:val="04A0" w:firstRow="1" w:lastRow="0" w:firstColumn="1" w:lastColumn="0" w:noHBand="0" w:noVBand="1"/>
    </w:tblPr>
    <w:tblGrid>
      <w:gridCol w:w="4646"/>
      <w:gridCol w:w="3150"/>
    </w:tblGrid>
    <w:tr w:rsidR="00C84E32" w14:paraId="3A59C1EC" w14:textId="77777777" w:rsidTr="006256CD">
      <w:tc>
        <w:tcPr>
          <w:tcW w:w="4646" w:type="dxa"/>
          <w:tcMar>
            <w:top w:w="0" w:type="dxa"/>
            <w:left w:w="108" w:type="dxa"/>
            <w:bottom w:w="0" w:type="dxa"/>
            <w:right w:w="108" w:type="dxa"/>
          </w:tcMar>
          <w:vAlign w:val="bottom"/>
        </w:tcPr>
        <w:p w14:paraId="18EAA359" w14:textId="12925B3E" w:rsidR="00D530A3" w:rsidRPr="0005186C" w:rsidRDefault="001C6849" w:rsidP="000C2686">
          <w:pPr>
            <w:pStyle w:val="Kopfzeile"/>
            <w:ind w:left="0"/>
          </w:pPr>
          <w:proofErr w:type="spellStart"/>
          <w:r w:rsidRPr="0005186C">
            <w:rPr>
              <w:rFonts w:ascii="Bodoni MT" w:hAnsi="Bodoni MT" w:cs="Calibri"/>
              <w:color w:val="6188CD"/>
              <w:sz w:val="36"/>
              <w:szCs w:val="36"/>
            </w:rPr>
            <w:t>alliuris</w:t>
          </w:r>
          <w:r w:rsidRPr="003051D9">
            <w:rPr>
              <w:rFonts w:ascii="Bodoni MT" w:hAnsi="Bodoni MT" w:cs="Calibri"/>
              <w:color w:val="A6A6A6" w:themeColor="background1" w:themeShade="A6"/>
              <w:sz w:val="36"/>
              <w:szCs w:val="36"/>
            </w:rPr>
            <w:t>briefing</w:t>
          </w:r>
          <w:proofErr w:type="spellEnd"/>
        </w:p>
      </w:tc>
      <w:tc>
        <w:tcPr>
          <w:tcW w:w="3150" w:type="dxa"/>
          <w:tcMar>
            <w:top w:w="0" w:type="dxa"/>
            <w:left w:w="108" w:type="dxa"/>
            <w:bottom w:w="0" w:type="dxa"/>
            <w:right w:w="108" w:type="dxa"/>
          </w:tcMar>
          <w:vAlign w:val="center"/>
        </w:tcPr>
        <w:p w14:paraId="7C894CF1" w14:textId="042BE28F" w:rsidR="00D530A3" w:rsidRPr="005E155F" w:rsidRDefault="008962CE" w:rsidP="000C2686">
          <w:pPr>
            <w:pStyle w:val="Kopfzeile"/>
            <w:jc w:val="right"/>
          </w:pPr>
          <w:r>
            <w:rPr>
              <w:caps/>
            </w:rPr>
            <w:t>February 2025</w:t>
          </w:r>
        </w:p>
      </w:tc>
    </w:tr>
  </w:tbl>
  <w:p w14:paraId="427BAD0A" w14:textId="77777777" w:rsidR="00351121" w:rsidRDefault="00351121" w:rsidP="0036242D">
    <w:pPr>
      <w:ind w:left="0"/>
    </w:pPr>
  </w:p>
  <w:p w14:paraId="3DEBE051" w14:textId="77777777" w:rsidR="00351121" w:rsidRDefault="00351121" w:rsidP="00B169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CDDA" w14:textId="7EA9AFF7" w:rsidR="00132D13" w:rsidRDefault="00250529" w:rsidP="001C6849">
    <w:r>
      <w:rPr>
        <w:noProof/>
      </w:rPr>
      <w:drawing>
        <wp:anchor distT="0" distB="0" distL="114300" distR="114300" simplePos="0" relativeHeight="251659264" behindDoc="0" locked="0" layoutInCell="1" allowOverlap="1" wp14:anchorId="3DC535C1" wp14:editId="7091CF5A">
          <wp:simplePos x="0" y="0"/>
          <wp:positionH relativeFrom="column">
            <wp:posOffset>3705225</wp:posOffset>
          </wp:positionH>
          <wp:positionV relativeFrom="paragraph">
            <wp:posOffset>-166591</wp:posOffset>
          </wp:positionV>
          <wp:extent cx="2453257" cy="1144988"/>
          <wp:effectExtent l="0" t="0" r="4445" b="0"/>
          <wp:wrapNone/>
          <wp:docPr id="1" name="Grafik 1" descr="Ein Bild, das Karte, We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arte, Wel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257" cy="11449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BDBB7" w14:textId="09DB4440" w:rsidR="00132D13" w:rsidRDefault="00132D13" w:rsidP="001C6849"/>
  <w:p w14:paraId="2878EF30" w14:textId="6A07152D" w:rsidR="00132D13" w:rsidRDefault="00132D13" w:rsidP="001C6849"/>
  <w:p w14:paraId="16A3F0C6" w14:textId="575EEDBC" w:rsidR="00351121" w:rsidRPr="003D02AC" w:rsidRDefault="001C6849" w:rsidP="003D02AC">
    <w:pPr>
      <w:spacing w:line="240" w:lineRule="auto"/>
      <w:ind w:left="0" w:firstLine="720"/>
      <w:contextualSpacing w:val="0"/>
      <w:jc w:val="left"/>
      <w:rPr>
        <w:rFonts w:ascii="Liberation Serif" w:hAnsi="Liberation Serif" w:cs="Lucida Sans" w:hint="eastAsia"/>
        <w:bCs w:val="0"/>
        <w:color w:val="auto"/>
        <w:sz w:val="24"/>
        <w:szCs w:val="24"/>
        <w:lang w:val="de-DE"/>
      </w:rPr>
    </w:pPr>
    <w:bookmarkStart w:id="3" w:name="_Hlk185327646"/>
    <w:bookmarkStart w:id="4" w:name="_Hlk185327647"/>
    <w:proofErr w:type="spellStart"/>
    <w:r w:rsidRPr="00820549">
      <w:rPr>
        <w:rFonts w:ascii="Bodoni MT" w:hAnsi="Bodoni MT"/>
        <w:bCs w:val="0"/>
        <w:color w:val="6188CD"/>
        <w:sz w:val="72"/>
        <w:szCs w:val="72"/>
      </w:rPr>
      <w:t>alliuris</w:t>
    </w:r>
    <w:bookmarkStart w:id="5" w:name="_Hlk185327688"/>
    <w:r w:rsidRPr="00820549">
      <w:rPr>
        <w:rFonts w:ascii="Bodoni MT" w:hAnsi="Bodoni MT"/>
        <w:bCs w:val="0"/>
        <w:color w:val="A6A6A6" w:themeColor="background1" w:themeShade="A6"/>
        <w:sz w:val="72"/>
        <w:szCs w:val="72"/>
      </w:rPr>
      <w:t>briefing</w:t>
    </w:r>
    <w:bookmarkEnd w:id="3"/>
    <w:bookmarkEnd w:id="4"/>
    <w:bookmarkEnd w:id="5"/>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1200"/>
    <w:multiLevelType w:val="multilevel"/>
    <w:tmpl w:val="A00A1824"/>
    <w:styleLink w:val="WW8Num7"/>
    <w:lvl w:ilvl="0">
      <w:start w:val="1"/>
      <w:numFmt w:val="decimal"/>
      <w:lvlText w:val="%1."/>
      <w:lvlJc w:val="left"/>
      <w:pPr>
        <w:ind w:left="720" w:hanging="360"/>
      </w:pPr>
      <w:rPr>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3846591"/>
    <w:multiLevelType w:val="hybridMultilevel"/>
    <w:tmpl w:val="796E0BA0"/>
    <w:lvl w:ilvl="0" w:tplc="120A6052">
      <w:start w:val="1"/>
      <w:numFmt w:val="bullet"/>
      <w:lvlText w:val=""/>
      <w:lvlJc w:val="left"/>
      <w:pPr>
        <w:ind w:left="1440" w:hanging="360"/>
      </w:pPr>
      <w:rPr>
        <w:rFonts w:ascii="Wingdings" w:hAnsi="Wingdings" w:hint="default"/>
        <w:color w:val="6083D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ABE1D97"/>
    <w:multiLevelType w:val="hybridMultilevel"/>
    <w:tmpl w:val="C17C3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F206ED"/>
    <w:multiLevelType w:val="hybridMultilevel"/>
    <w:tmpl w:val="B6D493D2"/>
    <w:lvl w:ilvl="0" w:tplc="120A6052">
      <w:start w:val="1"/>
      <w:numFmt w:val="bullet"/>
      <w:lvlText w:val=""/>
      <w:lvlJc w:val="left"/>
      <w:pPr>
        <w:ind w:left="1440" w:hanging="360"/>
      </w:pPr>
      <w:rPr>
        <w:rFonts w:ascii="Wingdings" w:hAnsi="Wingdings" w:hint="default"/>
        <w:color w:val="6083D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A283E78"/>
    <w:multiLevelType w:val="hybridMultilevel"/>
    <w:tmpl w:val="62889AD0"/>
    <w:lvl w:ilvl="0" w:tplc="120A6052">
      <w:start w:val="1"/>
      <w:numFmt w:val="bullet"/>
      <w:lvlText w:val=""/>
      <w:lvlJc w:val="left"/>
      <w:pPr>
        <w:tabs>
          <w:tab w:val="num" w:pos="360"/>
        </w:tabs>
        <w:ind w:left="360" w:hanging="360"/>
      </w:pPr>
      <w:rPr>
        <w:rFonts w:ascii="Wingdings" w:hAnsi="Wingdings" w:hint="default"/>
        <w:color w:val="6083D2"/>
      </w:rPr>
    </w:lvl>
    <w:lvl w:ilvl="1" w:tplc="04070003" w:tentative="1">
      <w:start w:val="1"/>
      <w:numFmt w:val="bullet"/>
      <w:lvlText w:val="o"/>
      <w:lvlJc w:val="left"/>
      <w:pPr>
        <w:tabs>
          <w:tab w:val="num" w:pos="7"/>
        </w:tabs>
        <w:ind w:left="7" w:hanging="360"/>
      </w:pPr>
      <w:rPr>
        <w:rFonts w:ascii="Courier New" w:hAnsi="Courier New" w:cs="Courier New" w:hint="default"/>
      </w:rPr>
    </w:lvl>
    <w:lvl w:ilvl="2" w:tplc="04070005" w:tentative="1">
      <w:start w:val="1"/>
      <w:numFmt w:val="bullet"/>
      <w:lvlText w:val=""/>
      <w:lvlJc w:val="left"/>
      <w:pPr>
        <w:tabs>
          <w:tab w:val="num" w:pos="727"/>
        </w:tabs>
        <w:ind w:left="727" w:hanging="360"/>
      </w:pPr>
      <w:rPr>
        <w:rFonts w:ascii="Wingdings" w:hAnsi="Wingdings" w:hint="default"/>
      </w:rPr>
    </w:lvl>
    <w:lvl w:ilvl="3" w:tplc="04070001" w:tentative="1">
      <w:start w:val="1"/>
      <w:numFmt w:val="bullet"/>
      <w:lvlText w:val=""/>
      <w:lvlJc w:val="left"/>
      <w:pPr>
        <w:tabs>
          <w:tab w:val="num" w:pos="1447"/>
        </w:tabs>
        <w:ind w:left="1447" w:hanging="360"/>
      </w:pPr>
      <w:rPr>
        <w:rFonts w:ascii="Symbol" w:hAnsi="Symbol" w:hint="default"/>
      </w:rPr>
    </w:lvl>
    <w:lvl w:ilvl="4" w:tplc="04070003" w:tentative="1">
      <w:start w:val="1"/>
      <w:numFmt w:val="bullet"/>
      <w:lvlText w:val="o"/>
      <w:lvlJc w:val="left"/>
      <w:pPr>
        <w:tabs>
          <w:tab w:val="num" w:pos="2167"/>
        </w:tabs>
        <w:ind w:left="2167" w:hanging="360"/>
      </w:pPr>
      <w:rPr>
        <w:rFonts w:ascii="Courier New" w:hAnsi="Courier New" w:cs="Courier New" w:hint="default"/>
      </w:rPr>
    </w:lvl>
    <w:lvl w:ilvl="5" w:tplc="04070005" w:tentative="1">
      <w:start w:val="1"/>
      <w:numFmt w:val="bullet"/>
      <w:lvlText w:val=""/>
      <w:lvlJc w:val="left"/>
      <w:pPr>
        <w:tabs>
          <w:tab w:val="num" w:pos="2887"/>
        </w:tabs>
        <w:ind w:left="2887" w:hanging="360"/>
      </w:pPr>
      <w:rPr>
        <w:rFonts w:ascii="Wingdings" w:hAnsi="Wingdings" w:hint="default"/>
      </w:rPr>
    </w:lvl>
    <w:lvl w:ilvl="6" w:tplc="04070001" w:tentative="1">
      <w:start w:val="1"/>
      <w:numFmt w:val="bullet"/>
      <w:lvlText w:val=""/>
      <w:lvlJc w:val="left"/>
      <w:pPr>
        <w:tabs>
          <w:tab w:val="num" w:pos="3607"/>
        </w:tabs>
        <w:ind w:left="3607" w:hanging="360"/>
      </w:pPr>
      <w:rPr>
        <w:rFonts w:ascii="Symbol" w:hAnsi="Symbol" w:hint="default"/>
      </w:rPr>
    </w:lvl>
    <w:lvl w:ilvl="7" w:tplc="04070003" w:tentative="1">
      <w:start w:val="1"/>
      <w:numFmt w:val="bullet"/>
      <w:lvlText w:val="o"/>
      <w:lvlJc w:val="left"/>
      <w:pPr>
        <w:tabs>
          <w:tab w:val="num" w:pos="4327"/>
        </w:tabs>
        <w:ind w:left="4327" w:hanging="360"/>
      </w:pPr>
      <w:rPr>
        <w:rFonts w:ascii="Courier New" w:hAnsi="Courier New" w:cs="Courier New" w:hint="default"/>
      </w:rPr>
    </w:lvl>
    <w:lvl w:ilvl="8" w:tplc="04070005" w:tentative="1">
      <w:start w:val="1"/>
      <w:numFmt w:val="bullet"/>
      <w:lvlText w:val=""/>
      <w:lvlJc w:val="left"/>
      <w:pPr>
        <w:tabs>
          <w:tab w:val="num" w:pos="5047"/>
        </w:tabs>
        <w:ind w:left="5047" w:hanging="360"/>
      </w:pPr>
      <w:rPr>
        <w:rFonts w:ascii="Wingdings" w:hAnsi="Wingdings" w:hint="default"/>
      </w:rPr>
    </w:lvl>
  </w:abstractNum>
  <w:abstractNum w:abstractNumId="5" w15:restartNumberingAfterBreak="0">
    <w:nsid w:val="49FA3F6B"/>
    <w:multiLevelType w:val="hybridMultilevel"/>
    <w:tmpl w:val="B0D21CC4"/>
    <w:lvl w:ilvl="0" w:tplc="120A6052">
      <w:start w:val="1"/>
      <w:numFmt w:val="bullet"/>
      <w:lvlText w:val=""/>
      <w:lvlJc w:val="left"/>
      <w:pPr>
        <w:ind w:left="1440" w:hanging="360"/>
      </w:pPr>
      <w:rPr>
        <w:rFonts w:ascii="Wingdings" w:hAnsi="Wingdings" w:hint="default"/>
        <w:color w:val="6083D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A8047BA"/>
    <w:multiLevelType w:val="multilevel"/>
    <w:tmpl w:val="E8081E0A"/>
    <w:styleLink w:val="WW8Num8"/>
    <w:lvl w:ilvl="0">
      <w:numFmt w:val="bullet"/>
      <w:lvlText w:val=""/>
      <w:lvlJc w:val="left"/>
      <w:pPr>
        <w:ind w:left="720" w:hanging="360"/>
      </w:pPr>
      <w:rPr>
        <w:rFonts w:ascii="Symbol" w:hAnsi="Symbol" w:cs="Symbol"/>
        <w:sz w:val="20"/>
        <w:lang w:val="en-US"/>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7" w15:restartNumberingAfterBreak="0">
    <w:nsid w:val="5C8C396C"/>
    <w:multiLevelType w:val="hybridMultilevel"/>
    <w:tmpl w:val="16F872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AA01B87"/>
    <w:multiLevelType w:val="hybridMultilevel"/>
    <w:tmpl w:val="9A86A784"/>
    <w:lvl w:ilvl="0" w:tplc="120A6052">
      <w:start w:val="1"/>
      <w:numFmt w:val="bullet"/>
      <w:lvlText w:val=""/>
      <w:lvlJc w:val="left"/>
      <w:pPr>
        <w:ind w:left="1440" w:hanging="360"/>
      </w:pPr>
      <w:rPr>
        <w:rFonts w:ascii="Wingdings" w:hAnsi="Wingdings" w:hint="default"/>
        <w:color w:val="6083D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7C0B07ED"/>
    <w:multiLevelType w:val="multilevel"/>
    <w:tmpl w:val="8A1AA7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4437336">
    <w:abstractNumId w:val="0"/>
  </w:num>
  <w:num w:numId="2" w16cid:durableId="708801078">
    <w:abstractNumId w:val="6"/>
  </w:num>
  <w:num w:numId="3" w16cid:durableId="166210104">
    <w:abstractNumId w:val="4"/>
  </w:num>
  <w:num w:numId="4" w16cid:durableId="161243112">
    <w:abstractNumId w:val="7"/>
  </w:num>
  <w:num w:numId="5" w16cid:durableId="695732363">
    <w:abstractNumId w:val="2"/>
  </w:num>
  <w:num w:numId="6" w16cid:durableId="1970237470">
    <w:abstractNumId w:val="9"/>
  </w:num>
  <w:num w:numId="7" w16cid:durableId="2054885927">
    <w:abstractNumId w:val="3"/>
  </w:num>
  <w:num w:numId="8" w16cid:durableId="646206627">
    <w:abstractNumId w:val="5"/>
  </w:num>
  <w:num w:numId="9" w16cid:durableId="1062755040">
    <w:abstractNumId w:val="8"/>
  </w:num>
  <w:num w:numId="10" w16cid:durableId="390344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CF"/>
    <w:rsid w:val="0000033C"/>
    <w:rsid w:val="000004C9"/>
    <w:rsid w:val="000048FE"/>
    <w:rsid w:val="0001798F"/>
    <w:rsid w:val="0005186C"/>
    <w:rsid w:val="000520F0"/>
    <w:rsid w:val="00061BEB"/>
    <w:rsid w:val="000A4B8F"/>
    <w:rsid w:val="000C2686"/>
    <w:rsid w:val="000E2C62"/>
    <w:rsid w:val="000E4F21"/>
    <w:rsid w:val="000F13E1"/>
    <w:rsid w:val="00114B68"/>
    <w:rsid w:val="00127279"/>
    <w:rsid w:val="00132D13"/>
    <w:rsid w:val="00147DA7"/>
    <w:rsid w:val="00165BB2"/>
    <w:rsid w:val="001B6B0D"/>
    <w:rsid w:val="001C6849"/>
    <w:rsid w:val="001F57FD"/>
    <w:rsid w:val="00214715"/>
    <w:rsid w:val="00215633"/>
    <w:rsid w:val="00225183"/>
    <w:rsid w:val="00236A88"/>
    <w:rsid w:val="00250529"/>
    <w:rsid w:val="00265736"/>
    <w:rsid w:val="002679CF"/>
    <w:rsid w:val="0027320B"/>
    <w:rsid w:val="00277517"/>
    <w:rsid w:val="002B5750"/>
    <w:rsid w:val="002D555F"/>
    <w:rsid w:val="002E0482"/>
    <w:rsid w:val="002E4BCE"/>
    <w:rsid w:val="002F3750"/>
    <w:rsid w:val="003051D9"/>
    <w:rsid w:val="00305ADD"/>
    <w:rsid w:val="0031468B"/>
    <w:rsid w:val="003400BD"/>
    <w:rsid w:val="00351121"/>
    <w:rsid w:val="00357833"/>
    <w:rsid w:val="0036242D"/>
    <w:rsid w:val="003A56FA"/>
    <w:rsid w:val="003D02AC"/>
    <w:rsid w:val="003D35F0"/>
    <w:rsid w:val="00425A32"/>
    <w:rsid w:val="004349E8"/>
    <w:rsid w:val="0044661E"/>
    <w:rsid w:val="004A5995"/>
    <w:rsid w:val="004B7D2D"/>
    <w:rsid w:val="004F001E"/>
    <w:rsid w:val="005268B7"/>
    <w:rsid w:val="00584135"/>
    <w:rsid w:val="005B1108"/>
    <w:rsid w:val="005C0650"/>
    <w:rsid w:val="005D7A1D"/>
    <w:rsid w:val="005E155F"/>
    <w:rsid w:val="006256CD"/>
    <w:rsid w:val="00644177"/>
    <w:rsid w:val="0065302C"/>
    <w:rsid w:val="00655A0C"/>
    <w:rsid w:val="006666E8"/>
    <w:rsid w:val="006C79DD"/>
    <w:rsid w:val="00703FA7"/>
    <w:rsid w:val="007204A8"/>
    <w:rsid w:val="00727A34"/>
    <w:rsid w:val="00744F6E"/>
    <w:rsid w:val="00752263"/>
    <w:rsid w:val="00773C5B"/>
    <w:rsid w:val="00773FA3"/>
    <w:rsid w:val="00794A57"/>
    <w:rsid w:val="007A7A6B"/>
    <w:rsid w:val="007E1246"/>
    <w:rsid w:val="007E2D47"/>
    <w:rsid w:val="008065A7"/>
    <w:rsid w:val="00846DA3"/>
    <w:rsid w:val="00877ED1"/>
    <w:rsid w:val="008962CE"/>
    <w:rsid w:val="008B030C"/>
    <w:rsid w:val="008C162C"/>
    <w:rsid w:val="008C41D7"/>
    <w:rsid w:val="00907691"/>
    <w:rsid w:val="0095309A"/>
    <w:rsid w:val="009D29DD"/>
    <w:rsid w:val="009E7B82"/>
    <w:rsid w:val="00A010CA"/>
    <w:rsid w:val="00A034AF"/>
    <w:rsid w:val="00A13FD4"/>
    <w:rsid w:val="00A50333"/>
    <w:rsid w:val="00A51694"/>
    <w:rsid w:val="00A67896"/>
    <w:rsid w:val="00A84C80"/>
    <w:rsid w:val="00A96B5A"/>
    <w:rsid w:val="00AA0443"/>
    <w:rsid w:val="00AE6C0C"/>
    <w:rsid w:val="00B02E78"/>
    <w:rsid w:val="00B1699E"/>
    <w:rsid w:val="00B44F10"/>
    <w:rsid w:val="00B64543"/>
    <w:rsid w:val="00B75D43"/>
    <w:rsid w:val="00B906CA"/>
    <w:rsid w:val="00BA7AD0"/>
    <w:rsid w:val="00BE67F0"/>
    <w:rsid w:val="00C16B0E"/>
    <w:rsid w:val="00C55393"/>
    <w:rsid w:val="00C55A79"/>
    <w:rsid w:val="00C87238"/>
    <w:rsid w:val="00CA053C"/>
    <w:rsid w:val="00CA2AB4"/>
    <w:rsid w:val="00CB7211"/>
    <w:rsid w:val="00CE0DFA"/>
    <w:rsid w:val="00CE2A34"/>
    <w:rsid w:val="00D0788F"/>
    <w:rsid w:val="00D530A3"/>
    <w:rsid w:val="00D60B21"/>
    <w:rsid w:val="00D93452"/>
    <w:rsid w:val="00D94574"/>
    <w:rsid w:val="00E02AB0"/>
    <w:rsid w:val="00E062A2"/>
    <w:rsid w:val="00E177B5"/>
    <w:rsid w:val="00E202CC"/>
    <w:rsid w:val="00E264DA"/>
    <w:rsid w:val="00E40DCC"/>
    <w:rsid w:val="00E505D8"/>
    <w:rsid w:val="00E635CF"/>
    <w:rsid w:val="00E64582"/>
    <w:rsid w:val="00E7051F"/>
    <w:rsid w:val="00EA3758"/>
    <w:rsid w:val="00F41130"/>
    <w:rsid w:val="00F41EA2"/>
    <w:rsid w:val="00F63171"/>
    <w:rsid w:val="00F64E58"/>
    <w:rsid w:val="00F74747"/>
    <w:rsid w:val="00F9162C"/>
    <w:rsid w:val="00FA449B"/>
    <w:rsid w:val="00FB7254"/>
    <w:rsid w:val="00FD1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CE24649"/>
  <w15:docId w15:val="{ED340EBF-D6C6-423F-AB61-F812E33D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6849"/>
    <w:pPr>
      <w:suppressAutoHyphens/>
      <w:spacing w:line="276" w:lineRule="auto"/>
      <w:ind w:left="720"/>
      <w:contextualSpacing/>
      <w:jc w:val="both"/>
    </w:pPr>
    <w:rPr>
      <w:rFonts w:ascii="Calibri" w:hAnsi="Calibri" w:cs="Calibri"/>
      <w:bCs/>
      <w:color w:val="000000"/>
      <w:sz w:val="22"/>
      <w:szCs w:val="22"/>
      <w:lang w:val="en-US"/>
    </w:rPr>
  </w:style>
  <w:style w:type="paragraph" w:styleId="berschrift1">
    <w:name w:val="heading 1"/>
    <w:basedOn w:val="Standard"/>
    <w:next w:val="Textbody"/>
    <w:uiPriority w:val="9"/>
    <w:qFormat/>
    <w:rsid w:val="00B1699E"/>
    <w:pPr>
      <w:outlineLvl w:val="0"/>
    </w:pPr>
    <w:rPr>
      <w:color w:val="000000" w:themeColor="text1"/>
      <w:sz w:val="36"/>
      <w:szCs w:val="36"/>
    </w:rPr>
  </w:style>
  <w:style w:type="paragraph" w:styleId="berschrift2">
    <w:name w:val="heading 2"/>
    <w:basedOn w:val="Standard"/>
    <w:next w:val="Standard"/>
    <w:uiPriority w:val="9"/>
    <w:unhideWhenUsed/>
    <w:qFormat/>
    <w:rsid w:val="00773C5B"/>
    <w:pPr>
      <w:spacing w:line="240" w:lineRule="auto"/>
      <w:outlineLvl w:val="1"/>
    </w:pPr>
    <w:rPr>
      <w:rFonts w:cstheme="minorHAnsi"/>
      <w:b/>
      <w:color w:val="000000" w:themeColor="text1"/>
    </w:rPr>
  </w:style>
  <w:style w:type="paragraph" w:styleId="berschrift3">
    <w:name w:val="heading 3"/>
    <w:basedOn w:val="Heading"/>
    <w:next w:val="Textbody"/>
    <w:uiPriority w:val="9"/>
    <w:semiHidden/>
    <w:unhideWhenUsed/>
    <w:qFormat/>
    <w:pPr>
      <w:spacing w:before="140" w:after="0"/>
      <w:outlineLvl w:val="2"/>
    </w:pPr>
    <w:rPr>
      <w:rFonts w:ascii="Liberation Serif" w:eastAsia="NSimSun" w:hAnsi="Liberation Serif" w:cs="Liberation Serif"/>
      <w:b/>
      <w:bCs w:val="0"/>
    </w:rPr>
  </w:style>
  <w:style w:type="paragraph" w:styleId="berschrift6">
    <w:name w:val="heading 6"/>
    <w:basedOn w:val="Standard"/>
    <w:next w:val="Standard"/>
    <w:uiPriority w:val="9"/>
    <w:semiHidden/>
    <w:unhideWhenUsed/>
    <w:qFormat/>
    <w:pPr>
      <w:spacing w:before="240" w:after="60"/>
      <w:outlineLvl w:val="5"/>
    </w:pPr>
    <w:rPr>
      <w:rFonts w:eastAsia="DengXian, 等线" w:cs="Times New Roman"/>
      <w:b/>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95309A"/>
    <w:rPr>
      <w:rFonts w:asciiTheme="minorHAnsi" w:hAnsiTheme="minorHAnsi" w:cstheme="minorHAnsi"/>
      <w:i/>
      <w:color w:val="404040"/>
      <w:sz w:val="18"/>
      <w:szCs w:val="18"/>
    </w:r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styleId="StandardWeb">
    <w:name w:val="Normal (Web)"/>
    <w:basedOn w:val="Standard"/>
    <w:pPr>
      <w:spacing w:before="280" w:after="280"/>
    </w:pPr>
    <w:rPr>
      <w:rFonts w:ascii="Times New Roman" w:eastAsia="Times New Roman" w:hAnsi="Times New Roman" w:cs="Times New Roman"/>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tabs>
        <w:tab w:val="center" w:pos="4536"/>
        <w:tab w:val="right" w:pos="9072"/>
      </w:tabs>
    </w:pPr>
    <w:rPr>
      <w:rFonts w:cs="Mangal"/>
      <w:szCs w:val="21"/>
    </w:rPr>
  </w:style>
  <w:style w:type="paragraph" w:styleId="Fuzeile">
    <w:name w:val="footer"/>
    <w:basedOn w:val="Standard"/>
    <w:uiPriority w:val="99"/>
    <w:pPr>
      <w:tabs>
        <w:tab w:val="center" w:pos="4536"/>
        <w:tab w:val="right" w:pos="9072"/>
      </w:tabs>
    </w:pPr>
    <w:rPr>
      <w:rFonts w:cs="Mangal"/>
      <w:szCs w:val="21"/>
    </w:rPr>
  </w:style>
  <w:style w:type="paragraph" w:styleId="Sprechblasentext">
    <w:name w:val="Balloon Text"/>
    <w:basedOn w:val="Standard"/>
    <w:rPr>
      <w:rFonts w:ascii="Segoe UI" w:eastAsia="Segoe UI" w:hAnsi="Segoe UI" w:cs="Mangal"/>
      <w:sz w:val="18"/>
      <w:szCs w:val="16"/>
    </w:rPr>
  </w:style>
  <w:style w:type="paragraph" w:customStyle="1" w:styleId="TableContents">
    <w:name w:val="Table Contents"/>
    <w:basedOn w:val="Standard"/>
    <w:pPr>
      <w:suppressLineNumbers/>
    </w:pPr>
  </w:style>
  <w:style w:type="paragraph" w:customStyle="1" w:styleId="Textbodyuser">
    <w:name w:val="Text body (user)"/>
    <w:basedOn w:val="Standard"/>
    <w:pPr>
      <w:spacing w:after="140"/>
    </w:pPr>
  </w:style>
  <w:style w:type="paragraph" w:customStyle="1" w:styleId="Endnote">
    <w:name w:val="Endnote"/>
    <w:basedOn w:val="Standard"/>
    <w:pPr>
      <w:suppressLineNumbers/>
      <w:ind w:left="339" w:hanging="339"/>
    </w:pPr>
    <w:rPr>
      <w:sz w:val="20"/>
      <w:szCs w:val="20"/>
    </w:rPr>
  </w:style>
  <w:style w:type="character" w:customStyle="1" w:styleId="FootnoteSymbol">
    <w:name w:val="Footnote Symbol"/>
    <w:basedOn w:val="Absatz-Standardschriftart"/>
    <w:rPr>
      <w:position w:val="0"/>
      <w:vertAlign w:val="superscript"/>
    </w:rPr>
  </w:style>
  <w:style w:type="character" w:customStyle="1" w:styleId="dflfde">
    <w:name w:val="dflfde"/>
  </w:style>
  <w:style w:type="character" w:customStyle="1" w:styleId="vlqkye">
    <w:name w:val="vlqkye"/>
  </w:style>
  <w:style w:type="character" w:customStyle="1" w:styleId="mwvive">
    <w:name w:val="mwvive"/>
  </w:style>
  <w:style w:type="character" w:customStyle="1" w:styleId="WW8Num7z0">
    <w:name w:val="WW8Num7z0"/>
    <w:rPr>
      <w:lang w:val="en-US"/>
    </w:rPr>
  </w:style>
  <w:style w:type="character" w:customStyle="1" w:styleId="Footnoteanchor">
    <w:name w:val="Footnote anchor"/>
    <w:rPr>
      <w:position w:val="0"/>
      <w:vertAlign w:val="superscript"/>
    </w:rPr>
  </w:style>
  <w:style w:type="character" w:customStyle="1" w:styleId="WW8Num8z0">
    <w:name w:val="WW8Num8z0"/>
    <w:rPr>
      <w:rFonts w:ascii="Symbol" w:eastAsia="Symbol" w:hAnsi="Symbol" w:cs="Symbol"/>
      <w:sz w:val="20"/>
      <w:lang w:val="en-US"/>
    </w:rPr>
  </w:style>
  <w:style w:type="character" w:customStyle="1" w:styleId="WW8Num8z1">
    <w:name w:val="WW8Num8z1"/>
    <w:rPr>
      <w:rFonts w:ascii="Courier New" w:eastAsia="Courier New" w:hAnsi="Courier New" w:cs="Courier New"/>
      <w:sz w:val="20"/>
    </w:rPr>
  </w:style>
  <w:style w:type="character" w:customStyle="1" w:styleId="WW8Num8z2">
    <w:name w:val="WW8Num8z2"/>
    <w:rPr>
      <w:rFonts w:ascii="Wingdings" w:eastAsia="Wingdings" w:hAnsi="Wingdings" w:cs="Wingdings"/>
      <w:sz w:val="20"/>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KopfzeileZchn">
    <w:name w:val="Kopfzeile Zchn"/>
    <w:basedOn w:val="Absatz-Standardschriftart"/>
    <w:rPr>
      <w:rFonts w:cs="Mangal"/>
      <w:szCs w:val="21"/>
    </w:rPr>
  </w:style>
  <w:style w:type="character" w:customStyle="1" w:styleId="FuzeileZchn">
    <w:name w:val="Fußzeile Zchn"/>
    <w:basedOn w:val="Absatz-Standardschriftart"/>
    <w:uiPriority w:val="99"/>
    <w:rPr>
      <w:rFonts w:cs="Mangal"/>
      <w:szCs w:val="21"/>
    </w:rPr>
  </w:style>
  <w:style w:type="character" w:styleId="Seitenzahl">
    <w:name w:val="page number"/>
    <w:basedOn w:val="Absatz-Standardschriftart"/>
  </w:style>
  <w:style w:type="character" w:customStyle="1" w:styleId="SprechblasentextZchn">
    <w:name w:val="Sprechblasentext Zchn"/>
    <w:basedOn w:val="Absatz-Standardschriftart"/>
    <w:rPr>
      <w:rFonts w:ascii="Segoe UI" w:eastAsia="Segoe UI" w:hAnsi="Segoe UI" w:cs="Mangal"/>
      <w:sz w:val="18"/>
      <w:szCs w:val="16"/>
    </w:rPr>
  </w:style>
  <w:style w:type="character" w:customStyle="1" w:styleId="EndnoteSymbol">
    <w:name w:val="Endnote Symbol"/>
  </w:style>
  <w:style w:type="character" w:customStyle="1" w:styleId="Endnoteanchor">
    <w:name w:val="Endnote anchor"/>
    <w:rPr>
      <w:position w:val="0"/>
      <w:vertAlign w:val="superscript"/>
    </w:rPr>
  </w:style>
  <w:style w:type="numbering" w:customStyle="1" w:styleId="WW8Num7">
    <w:name w:val="WW8Num7"/>
    <w:basedOn w:val="KeineListe"/>
    <w:pPr>
      <w:numPr>
        <w:numId w:val="1"/>
      </w:numPr>
    </w:pPr>
  </w:style>
  <w:style w:type="numbering" w:customStyle="1" w:styleId="WW8Num8">
    <w:name w:val="WW8Num8"/>
    <w:basedOn w:val="KeineListe"/>
    <w:pPr>
      <w:numPr>
        <w:numId w:val="2"/>
      </w:numPr>
    </w:p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sid w:val="003400BD"/>
    <w:rPr>
      <w:color w:val="0563C1" w:themeColor="hyperlink"/>
      <w:u w:val="single"/>
    </w:rPr>
  </w:style>
  <w:style w:type="character" w:styleId="NichtaufgelsteErwhnung">
    <w:name w:val="Unresolved Mention"/>
    <w:basedOn w:val="Absatz-Standardschriftart"/>
    <w:uiPriority w:val="99"/>
    <w:semiHidden/>
    <w:unhideWhenUsed/>
    <w:rsid w:val="003400BD"/>
    <w:rPr>
      <w:color w:val="605E5C"/>
      <w:shd w:val="clear" w:color="auto" w:fill="E1DFDD"/>
    </w:rPr>
  </w:style>
  <w:style w:type="table" w:styleId="Tabellenraster">
    <w:name w:val="Table Grid"/>
    <w:basedOn w:val="NormaleTabelle"/>
    <w:uiPriority w:val="39"/>
    <w:rsid w:val="007A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794A57"/>
    <w:rPr>
      <w:rFonts w:cs="Mangal"/>
      <w:sz w:val="20"/>
      <w:szCs w:val="18"/>
    </w:rPr>
  </w:style>
  <w:style w:type="character" w:customStyle="1" w:styleId="FunotentextZchn">
    <w:name w:val="Fußnotentext Zchn"/>
    <w:basedOn w:val="Absatz-Standardschriftart"/>
    <w:link w:val="Funotentext"/>
    <w:uiPriority w:val="99"/>
    <w:semiHidden/>
    <w:rsid w:val="00794A57"/>
    <w:rPr>
      <w:rFonts w:cs="Mangal"/>
      <w:sz w:val="20"/>
      <w:szCs w:val="18"/>
    </w:rPr>
  </w:style>
  <w:style w:type="paragraph" w:styleId="Listenabsatz">
    <w:name w:val="List Paragraph"/>
    <w:basedOn w:val="Standard"/>
    <w:uiPriority w:val="34"/>
    <w:qFormat/>
    <w:rsid w:val="006C79DD"/>
    <w:rPr>
      <w:rFonts w:cs="Mangal"/>
      <w:szCs w:val="21"/>
    </w:rPr>
  </w:style>
  <w:style w:type="character" w:styleId="Kommentarzeichen">
    <w:name w:val="annotation reference"/>
    <w:basedOn w:val="Absatz-Standardschriftart"/>
    <w:uiPriority w:val="99"/>
    <w:semiHidden/>
    <w:unhideWhenUsed/>
    <w:rsid w:val="005C0650"/>
    <w:rPr>
      <w:sz w:val="16"/>
      <w:szCs w:val="16"/>
    </w:rPr>
  </w:style>
  <w:style w:type="paragraph" w:styleId="Kommentartext">
    <w:name w:val="annotation text"/>
    <w:basedOn w:val="Standard"/>
    <w:link w:val="KommentartextZchn"/>
    <w:uiPriority w:val="99"/>
    <w:unhideWhenUsed/>
    <w:rsid w:val="005C0650"/>
    <w:rPr>
      <w:rFonts w:cs="Mangal"/>
      <w:sz w:val="20"/>
      <w:szCs w:val="18"/>
    </w:rPr>
  </w:style>
  <w:style w:type="character" w:customStyle="1" w:styleId="KommentartextZchn">
    <w:name w:val="Kommentartext Zchn"/>
    <w:basedOn w:val="Absatz-Standardschriftart"/>
    <w:link w:val="Kommentartext"/>
    <w:uiPriority w:val="99"/>
    <w:rsid w:val="005C0650"/>
    <w:rPr>
      <w:rFonts w:cs="Mangal"/>
      <w:sz w:val="20"/>
      <w:szCs w:val="18"/>
    </w:rPr>
  </w:style>
  <w:style w:type="paragraph" w:styleId="Kommentarthema">
    <w:name w:val="annotation subject"/>
    <w:basedOn w:val="Kommentartext"/>
    <w:next w:val="Kommentartext"/>
    <w:link w:val="KommentarthemaZchn"/>
    <w:uiPriority w:val="99"/>
    <w:semiHidden/>
    <w:unhideWhenUsed/>
    <w:rsid w:val="005C0650"/>
    <w:rPr>
      <w:b/>
      <w:bCs w:val="0"/>
    </w:rPr>
  </w:style>
  <w:style w:type="character" w:customStyle="1" w:styleId="KommentarthemaZchn">
    <w:name w:val="Kommentarthema Zchn"/>
    <w:basedOn w:val="KommentartextZchn"/>
    <w:link w:val="Kommentarthema"/>
    <w:uiPriority w:val="99"/>
    <w:semiHidden/>
    <w:rsid w:val="005C0650"/>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07119">
      <w:bodyDiv w:val="1"/>
      <w:marLeft w:val="0"/>
      <w:marRight w:val="0"/>
      <w:marTop w:val="0"/>
      <w:marBottom w:val="0"/>
      <w:divBdr>
        <w:top w:val="none" w:sz="0" w:space="0" w:color="auto"/>
        <w:left w:val="none" w:sz="0" w:space="0" w:color="auto"/>
        <w:bottom w:val="none" w:sz="0" w:space="0" w:color="auto"/>
        <w:right w:val="none" w:sz="0" w:space="0" w:color="auto"/>
      </w:divBdr>
      <w:divsChild>
        <w:div w:id="2078942788">
          <w:marLeft w:val="0"/>
          <w:marRight w:val="0"/>
          <w:marTop w:val="0"/>
          <w:marBottom w:val="0"/>
          <w:divBdr>
            <w:top w:val="none" w:sz="0" w:space="0" w:color="auto"/>
            <w:left w:val="none" w:sz="0" w:space="0" w:color="auto"/>
            <w:bottom w:val="none" w:sz="0" w:space="0" w:color="auto"/>
            <w:right w:val="none" w:sz="0" w:space="0" w:color="auto"/>
          </w:divBdr>
        </w:div>
      </w:divsChild>
    </w:div>
    <w:div w:id="394940435">
      <w:bodyDiv w:val="1"/>
      <w:marLeft w:val="0"/>
      <w:marRight w:val="0"/>
      <w:marTop w:val="0"/>
      <w:marBottom w:val="0"/>
      <w:divBdr>
        <w:top w:val="none" w:sz="0" w:space="0" w:color="auto"/>
        <w:left w:val="none" w:sz="0" w:space="0" w:color="auto"/>
        <w:bottom w:val="none" w:sz="0" w:space="0" w:color="auto"/>
        <w:right w:val="none" w:sz="0" w:space="0" w:color="auto"/>
      </w:divBdr>
      <w:divsChild>
        <w:div w:id="203520810">
          <w:marLeft w:val="0"/>
          <w:marRight w:val="0"/>
          <w:marTop w:val="0"/>
          <w:marBottom w:val="0"/>
          <w:divBdr>
            <w:top w:val="none" w:sz="0" w:space="0" w:color="auto"/>
            <w:left w:val="none" w:sz="0" w:space="0" w:color="auto"/>
            <w:bottom w:val="none" w:sz="0" w:space="0" w:color="auto"/>
            <w:right w:val="none" w:sz="0" w:space="0" w:color="auto"/>
          </w:divBdr>
        </w:div>
      </w:divsChild>
    </w:div>
    <w:div w:id="466779226">
      <w:bodyDiv w:val="1"/>
      <w:marLeft w:val="0"/>
      <w:marRight w:val="0"/>
      <w:marTop w:val="0"/>
      <w:marBottom w:val="0"/>
      <w:divBdr>
        <w:top w:val="none" w:sz="0" w:space="0" w:color="auto"/>
        <w:left w:val="none" w:sz="0" w:space="0" w:color="auto"/>
        <w:bottom w:val="none" w:sz="0" w:space="0" w:color="auto"/>
        <w:right w:val="none" w:sz="0" w:space="0" w:color="auto"/>
      </w:divBdr>
    </w:div>
    <w:div w:id="514005242">
      <w:bodyDiv w:val="1"/>
      <w:marLeft w:val="0"/>
      <w:marRight w:val="0"/>
      <w:marTop w:val="0"/>
      <w:marBottom w:val="0"/>
      <w:divBdr>
        <w:top w:val="none" w:sz="0" w:space="0" w:color="auto"/>
        <w:left w:val="none" w:sz="0" w:space="0" w:color="auto"/>
        <w:bottom w:val="none" w:sz="0" w:space="0" w:color="auto"/>
        <w:right w:val="none" w:sz="0" w:space="0" w:color="auto"/>
      </w:divBdr>
    </w:div>
    <w:div w:id="917522133">
      <w:bodyDiv w:val="1"/>
      <w:marLeft w:val="0"/>
      <w:marRight w:val="0"/>
      <w:marTop w:val="0"/>
      <w:marBottom w:val="0"/>
      <w:divBdr>
        <w:top w:val="none" w:sz="0" w:space="0" w:color="auto"/>
        <w:left w:val="none" w:sz="0" w:space="0" w:color="auto"/>
        <w:bottom w:val="none" w:sz="0" w:space="0" w:color="auto"/>
        <w:right w:val="none" w:sz="0" w:space="0" w:color="auto"/>
      </w:divBdr>
    </w:div>
    <w:div w:id="1761679490">
      <w:bodyDiv w:val="1"/>
      <w:marLeft w:val="0"/>
      <w:marRight w:val="0"/>
      <w:marTop w:val="0"/>
      <w:marBottom w:val="0"/>
      <w:divBdr>
        <w:top w:val="none" w:sz="0" w:space="0" w:color="auto"/>
        <w:left w:val="none" w:sz="0" w:space="0" w:color="auto"/>
        <w:bottom w:val="none" w:sz="0" w:space="0" w:color="auto"/>
        <w:right w:val="none" w:sz="0" w:space="0" w:color="auto"/>
      </w:divBdr>
    </w:div>
    <w:div w:id="1933705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iuri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alliuris.org" TargetMode="External"/><Relationship Id="rId4" Type="http://schemas.openxmlformats.org/officeDocument/2006/relationships/settings" Target="settings.xml"/><Relationship Id="rId9" Type="http://schemas.openxmlformats.org/officeDocument/2006/relationships/hyperlink" Target="http://www.453lega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EF10-B7A1-4866-8F61-921833D8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1782</Words>
  <Characters>11230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Nesler</dc:creator>
  <cp:lastModifiedBy>Nesler, Sara</cp:lastModifiedBy>
  <cp:revision>3</cp:revision>
  <cp:lastPrinted>2025-02-27T09:04:00Z</cp:lastPrinted>
  <dcterms:created xsi:type="dcterms:W3CDTF">2025-02-27T12:21:00Z</dcterms:created>
  <dcterms:modified xsi:type="dcterms:W3CDTF">2025-02-27T13:50:00Z</dcterms:modified>
</cp:coreProperties>
</file>